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0a17a7e65954621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4408cf6d704c49828b78b123d9ec1dcb.psmdcp" Id="Rb780ac55227c4102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Болезнь Лайма у взрослых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А69.2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КР566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(пересмотр каждые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1034E420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 Международная ассоциация специалистов в области инфекций 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 Научным советом Министерства Здравоохранения Российской Федерации __ __________201_ г. 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