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8D" w:rsidRDefault="00753954" w:rsidP="005F668D">
      <w:pPr>
        <w:pStyle w:val="aff5"/>
      </w:pPr>
      <w:r w:rsidRPr="00753954">
        <w:rPr>
          <w:noProof/>
          <w:lang w:val="en-US"/>
        </w:rPr>
        <w:pict>
          <v:rect id="_x0000_s1026" style="position:absolute;margin-left:-63.3pt;margin-top:-34.95pt;width:551.25pt;height:664.5pt;z-index:-48653919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" fillcolor="white [3212]" stroked="f"/>
        </w:pict>
      </w:r>
      <w:bookmarkStart w:id="0" w:name="_GoBack"/>
      <w:r w:rsidRPr="00753954">
        <w:rPr>
          <w:noProof/>
          <w:lang w:val="en-US"/>
        </w:rPr>
        <w:pict>
          <v:rect id="Прямоугольник 3" o:spid="_x0000_s1028" style="position:absolute;margin-left:0;margin-top:-81.6pt;width:598.55pt;height:867.8pt;z-index:-503316478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" fillcolor="#0b595d" stroked="f" strokeweight="1pt">
            <v:fill opacity="6682f"/>
            <w10:wrap anchorx="page"/>
          </v:rect>
        </w:pict>
      </w:r>
      <w:bookmarkEnd w:id="0"/>
      <w:r w:rsidR="00CB6FFD">
        <w:rPr>
          <w:noProof/>
          <w:lang w:eastAsia="ru-RU"/>
        </w:rPr>
        <w:drawing>
          <wp:anchor distT="0" distB="0" distL="114300" distR="114300" simplePos="0" relativeHeight="10066370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-8890</wp:posOffset>
            </wp:positionV>
            <wp:extent cx="1485900" cy="1031240"/>
            <wp:effectExtent l="0" t="0" r="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62" r="-1857" b="-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BA3" w:rsidRDefault="00187BA3" w:rsidP="002F7719"/>
    <w:p w:rsidR="00187BA3" w:rsidRDefault="00187BA3" w:rsidP="002F7719">
      <w:pPr>
        <w:pStyle w:val="afc"/>
      </w:pPr>
    </w:p>
    <w:p w:rsidR="005F668D" w:rsidRDefault="005F668D" w:rsidP="005F668D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668D" w:rsidRDefault="005F668D" w:rsidP="005F668D">
      <w:pPr>
        <w:tabs>
          <w:tab w:val="left" w:pos="6135"/>
        </w:tabs>
        <w:rPr>
          <w:sz w:val="28"/>
          <w:szCs w:val="28"/>
        </w:rPr>
      </w:pPr>
    </w:p>
    <w:p w:rsidR="0036727F" w:rsidRDefault="0036727F" w:rsidP="005F668D">
      <w:pPr>
        <w:tabs>
          <w:tab w:val="left" w:pos="6135"/>
        </w:tabs>
        <w:rPr>
          <w:sz w:val="28"/>
          <w:szCs w:val="28"/>
        </w:rPr>
      </w:pPr>
    </w:p>
    <w:tbl>
      <w:tblPr>
        <w:tblStyle w:val="aff6"/>
        <w:tblpPr w:leftFromText="180" w:rightFromText="180" w:vertAnchor="page" w:horzAnchor="margin" w:tblpX="-180" w:tblpY="4561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25"/>
      </w:tblGrid>
      <w:tr w:rsidR="0036727F" w:rsidTr="00B8507B">
        <w:tc>
          <w:tcPr>
            <w:tcW w:w="9525" w:type="dxa"/>
          </w:tcPr>
          <w:p w:rsidR="0036727F" w:rsidRDefault="0036727F" w:rsidP="00B8507B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Клинические </w:t>
            </w:r>
            <w:r w:rsidRPr="005F668D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36727F" w:rsidTr="00B8507B">
        <w:trPr>
          <w:trHeight w:val="1907"/>
        </w:trPr>
        <w:tc>
          <w:tcPr>
            <w:tcW w:w="9525" w:type="dxa"/>
          </w:tcPr>
          <w:p w:rsidR="0036727F" w:rsidRDefault="0036727F" w:rsidP="00B8507B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b/>
                <w:color w:val="000000"/>
                <w:sz w:val="44"/>
                <w:szCs w:val="44"/>
              </w:rPr>
              <w:t>Генитальный герпес</w:t>
            </w:r>
          </w:p>
        </w:tc>
      </w:tr>
      <w:tr w:rsidR="0036727F" w:rsidTr="00B8507B">
        <w:tc>
          <w:tcPr>
            <w:tcW w:w="9525" w:type="dxa"/>
          </w:tcPr>
          <w:p w:rsidR="0036727F" w:rsidRDefault="0036727F" w:rsidP="00B8507B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МКБ 10: </w:t>
            </w:r>
            <w:r>
              <w:rPr>
                <w:rStyle w:val="pop-slug-vol"/>
                <w:b/>
                <w:szCs w:val="24"/>
              </w:rPr>
              <w:t>A60</w:t>
            </w:r>
          </w:p>
        </w:tc>
      </w:tr>
      <w:tr w:rsidR="0036727F" w:rsidTr="00B8507B">
        <w:trPr>
          <w:trHeight w:val="827"/>
        </w:trPr>
        <w:tc>
          <w:tcPr>
            <w:tcW w:w="9525" w:type="dxa"/>
          </w:tcPr>
          <w:p w:rsidR="0036727F" w:rsidRDefault="0036727F" w:rsidP="00B8507B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5F668D">
              <w:rPr>
                <w:rStyle w:val="pop-slug-vol"/>
                <w:color w:val="767171" w:themeColor="background2" w:themeShade="80"/>
                <w:szCs w:val="24"/>
              </w:rPr>
              <w:t>Возрастная категория:</w:t>
            </w:r>
            <w:r>
              <w:rPr>
                <w:rStyle w:val="pop-slug-vol"/>
                <w:b/>
                <w:szCs w:val="24"/>
              </w:rPr>
              <w:t>взрослые, дети</w:t>
            </w:r>
          </w:p>
        </w:tc>
      </w:tr>
      <w:tr w:rsidR="0036727F" w:rsidTr="00B8507B">
        <w:trPr>
          <w:trHeight w:val="890"/>
        </w:trPr>
        <w:tc>
          <w:tcPr>
            <w:tcW w:w="9525" w:type="dxa"/>
          </w:tcPr>
          <w:p w:rsidR="0036727F" w:rsidRDefault="0036727F" w:rsidP="00B8507B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ID: </w:t>
            </w:r>
            <w:r w:rsidRPr="002F7719">
              <w:rPr>
                <w:b/>
              </w:rPr>
              <w:t>КР208</w:t>
            </w:r>
          </w:p>
        </w:tc>
      </w:tr>
      <w:tr w:rsidR="0036727F" w:rsidTr="00B8507B">
        <w:tc>
          <w:tcPr>
            <w:tcW w:w="9525" w:type="dxa"/>
          </w:tcPr>
          <w:p w:rsidR="0036727F" w:rsidRDefault="0036727F" w:rsidP="00B8507B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Год утверждения: </w:t>
            </w:r>
            <w:r>
              <w:rPr>
                <w:b/>
              </w:rPr>
              <w:t>2016 (1 раз в 2 года)</w:t>
            </w:r>
          </w:p>
        </w:tc>
      </w:tr>
      <w:tr w:rsidR="0036727F" w:rsidTr="00B8507B">
        <w:tc>
          <w:tcPr>
            <w:tcW w:w="9525" w:type="dxa"/>
          </w:tcPr>
          <w:p w:rsidR="0036727F" w:rsidRDefault="0036727F" w:rsidP="00B8507B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Профессиональные ассоциации:</w:t>
            </w:r>
          </w:p>
        </w:tc>
      </w:tr>
      <w:tr w:rsidR="0036727F" w:rsidTr="00B8507B">
        <w:trPr>
          <w:trHeight w:val="4170"/>
        </w:trPr>
        <w:tc>
          <w:tcPr>
            <w:tcW w:w="9525" w:type="dxa"/>
          </w:tcPr>
          <w:p w:rsidR="0036727F" w:rsidRPr="005F668D" w:rsidRDefault="0036727F" w:rsidP="00450B64">
            <w:pPr>
              <w:pStyle w:val="aff5"/>
              <w:numPr>
                <w:ilvl w:val="0"/>
                <w:numId w:val="2"/>
              </w:numPr>
              <w:rPr>
                <w:b/>
                <w:sz w:val="28"/>
              </w:rPr>
            </w:pPr>
            <w:r w:rsidRPr="005F668D">
              <w:rPr>
                <w:b/>
              </w:rPr>
              <w:t>Российское общество дерматовенерологов и косметологов</w:t>
            </w:r>
          </w:p>
        </w:tc>
      </w:tr>
      <w:tr w:rsidR="00B8507B" w:rsidTr="00B8507B">
        <w:trPr>
          <w:trHeight w:val="1560"/>
        </w:trPr>
        <w:tc>
          <w:tcPr>
            <w:tcW w:w="9525" w:type="dxa"/>
          </w:tcPr>
          <w:p w:rsidR="00B8507B" w:rsidRPr="00B8507B" w:rsidRDefault="00B8507B" w:rsidP="00B8507B">
            <w:pPr>
              <w:pStyle w:val="aff5"/>
              <w:rPr>
                <w:b/>
              </w:rPr>
            </w:pPr>
          </w:p>
          <w:p w:rsidR="00B8507B" w:rsidRPr="005F668D" w:rsidRDefault="00B8507B" w:rsidP="00B8507B">
            <w:pPr>
              <w:rPr>
                <w:color w:val="000000"/>
              </w:rPr>
            </w:pPr>
            <w:r w:rsidRPr="005F668D">
              <w:rPr>
                <w:color w:val="000000"/>
              </w:rPr>
              <w:t>Научным советом Министерства Здравоохранения Российской Федерации</w:t>
            </w:r>
          </w:p>
        </w:tc>
      </w:tr>
    </w:tbl>
    <w:p w:rsidR="0036727F" w:rsidRDefault="00753954" w:rsidP="005F668D">
      <w:pPr>
        <w:tabs>
          <w:tab w:val="left" w:pos="6135"/>
        </w:tabs>
        <w:rPr>
          <w:sz w:val="28"/>
          <w:szCs w:val="28"/>
        </w:rPr>
      </w:pPr>
      <w:r w:rsidRPr="00753954">
        <w:rPr>
          <w:noProof/>
          <w:lang w:val="en-US"/>
        </w:rPr>
        <w:pict>
          <v:rect id="Прямоугольник 4" o:spid="_x0000_s1027" style="position:absolute;margin-left:0;margin-top:499.8pt;width:551.25pt;height:117.75pt;z-index:-251657216;visibility:visible;mso-position-horizontal:center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" fillcolor="white [3212]" stroked="f">
            <w10:wrap anchorx="page"/>
          </v:rect>
        </w:pict>
      </w:r>
    </w:p>
    <w:p w:rsidR="003A5FFA" w:rsidRDefault="00450B64">
      <w:r>
        <w:br w:type="page"/>
      </w:r>
      <w:sdt>
        <w:sdtPr>
          <w:id w:val="1526977811"/>
          <w:docPartObj>
            <w:docPartGallery w:val="Table of Contents"/>
            <w:docPartUnique/>
          </w:docPartObj>
        </w:sdtPr>
        <w:sdtEndPr>
          <w:rPr>
            <w:rFonts w:asciiTheme="minorHAnsi" w:hAnsiTheme="minorHAnsi"/>
            <w:b/>
            <w:bCs/>
            <w:noProof/>
            <w:sz w:val="22"/>
          </w:rPr>
        </w:sdtEndPr>
        <w:sdtContent>
          <w:r>
            <w:t>Оглавление</w:t>
          </w:r>
        </w:sdtContent>
      </w:sdt>
    </w:p>
    <w:p w:rsidR="003A5FFA" w:rsidRDefault="00753954">
      <w:pPr>
        <w:tabs>
          <w:tab w:val="right" w:leader="dot" w:pos="9345"/>
        </w:tabs>
        <w:rPr>
          <w:noProof/>
        </w:rPr>
      </w:pPr>
      <w:r w:rsidRPr="00753954">
        <w:fldChar w:fldCharType="begin"/>
      </w:r>
      <w:r w:rsidR="00450B64">
        <w:instrText xml:space="preserve"> TOC \o "1-3" \h \z \u </w:instrText>
      </w:r>
      <w:r w:rsidRPr="00753954">
        <w:fldChar w:fldCharType="separate"/>
      </w:r>
      <w:r>
        <w:fldChar w:fldCharType="begin"/>
      </w:r>
      <w:r>
        <w:instrText>HYPERLINK \l "__RefHeading___doc_key_words"</w:instrText>
      </w:r>
      <w:r>
        <w:fldChar w:fldCharType="separate"/>
      </w:r>
      <w:r w:rsidR="00450B64" w:rsidRPr="00932A4F">
        <w:rPr>
          <w:noProof/>
          <w:lang w:val="en-US"/>
        </w:rPr>
        <w:t>Ключевые слова</w:t>
      </w:r>
      <w:r w:rsidR="00450B64">
        <w:rPr>
          <w:noProof/>
          <w:webHidden/>
        </w:rPr>
        <w:tab/>
      </w:r>
      <w:r>
        <w:rPr>
          <w:noProof/>
          <w:webHidden/>
        </w:rPr>
        <w:fldChar w:fldCharType="begin"/>
      </w:r>
      <w:r w:rsidR="00450B64">
        <w:rPr>
          <w:noProof/>
          <w:webHidden/>
        </w:rPr>
        <w:instrText xml:space="preserve"> PAGEREF __RefHeading___doc_key_words \h </w:instrText>
      </w:r>
      <w:r>
        <w:rPr>
          <w:noProof/>
          <w:webHidden/>
        </w:rPr>
      </w:r>
      <w:r w:rsidR="00E33142">
        <w:rPr>
          <w:noProof/>
          <w:webHidden/>
        </w:rPr>
        <w:fldChar w:fldCharType="separate"/>
      </w:r>
      <w:r w:rsidR="00E33142"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fldChar w:fldCharType="end"/>
      </w:r>
    </w:p>
    <w:p w:rsidR="003A5FFA" w:rsidRDefault="00753954">
      <w:pPr>
        <w:tabs>
          <w:tab w:val="right" w:leader="dot" w:pos="9345"/>
        </w:tabs>
        <w:rPr>
          <w:noProof/>
        </w:rPr>
      </w:pPr>
      <w:hyperlink r:id="rId9" w:anchor="__RefHeading___doc_key_words" w:history="1">
        <w:r>
          <w:t>s"</w:t>
        </w:r>
        <w:r w:rsidR="00450B64" w:rsidRPr="00932A4F">
          <w:rPr>
            <w:noProof/>
            <w:lang w:val="en-US"/>
          </w:rPr>
          <w:t>Термины и определения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__RefHeading___doc_terms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1" w:history="1">
        <w:r w:rsidR="00450B64" w:rsidRPr="00932A4F">
          <w:rPr>
            <w:noProof/>
            <w:lang w:val="en-US"/>
          </w:rPr>
          <w:t>1. Краткая информация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__RefHeading___doc_1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2" w:history="1">
        <w:r w:rsidR="00450B64" w:rsidRPr="00932A4F">
          <w:rPr>
            <w:noProof/>
            <w:lang w:val="en-US"/>
          </w:rPr>
          <w:t>2. Диагностика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__RefHeading___doc_2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3" w:history="1">
        <w:r w:rsidR="00450B64" w:rsidRPr="00932A4F">
          <w:rPr>
            <w:noProof/>
            <w:lang w:val="en-US"/>
          </w:rPr>
          <w:t>3. Лечение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__RefHeading___doc_3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4" w:history="1">
        <w:r w:rsidR="00450B64" w:rsidRPr="00932A4F">
          <w:rPr>
            <w:noProof/>
            <w:lang w:val="en-US"/>
          </w:rPr>
          <w:t>4. Реабилитация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__RefHeading___doc_4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5" w:history="1">
        <w:r w:rsidR="00450B64" w:rsidRPr="00932A4F">
          <w:rPr>
            <w:noProof/>
            <w:lang w:val="en-US"/>
          </w:rPr>
          <w:t>5. Профилактика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__RefHeading___doc_5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6" w:history="1">
        <w:r w:rsidR="00450B64" w:rsidRPr="00932A4F">
          <w:rPr>
            <w:noProof/>
            <w:lang w:val="en-US"/>
          </w:rPr>
          <w:t>6. Дополнительная информация, влияющая на течение и исход заболевания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__RefHeading___doc_6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criteria" w:history="1">
        <w:r w:rsidR="00450B64" w:rsidRPr="00932A4F">
          <w:rPr>
            <w:noProof/>
            <w:lang w:val="en-US"/>
          </w:rPr>
          <w:t>Критерии оценки качества медицинской помощи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__RefHeading___doc_criteria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bible" w:history="1">
        <w:r w:rsidR="00450B64" w:rsidRPr="00932A4F">
          <w:rPr>
            <w:noProof/>
            <w:lang w:val="en-US"/>
          </w:rPr>
          <w:t>Список литературы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__RefHeading___doc_bible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a1" w:history="1">
        <w:r w:rsidR="00450B64" w:rsidRPr="00932A4F">
          <w:rPr>
            <w:noProof/>
            <w:lang w:val="en-US"/>
          </w:rPr>
          <w:t>Приложение А1. Состав рабочей группы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__RefHeading___doc_a1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a2" w:history="1">
        <w:r w:rsidR="00450B64" w:rsidRPr="00932A4F">
          <w:rPr>
            <w:noProof/>
            <w:lang w:val="en-US"/>
          </w:rPr>
          <w:t xml:space="preserve">Приложение А2. Методология разработки клинических </w:t>
        </w:r>
        <w:r w:rsidR="00450B64" w:rsidRPr="00932A4F">
          <w:rPr>
            <w:noProof/>
            <w:lang w:val="en-US"/>
          </w:rPr>
          <w:t>рекомендаций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__RefHeading___doc_a2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a3" w:history="1">
        <w:r w:rsidR="00450B64" w:rsidRPr="00932A4F">
          <w:rPr>
            <w:noProof/>
            <w:lang w:val="en-US"/>
          </w:rPr>
          <w:t>Приложение А3. Связанные документы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__RefHeading___doc_a3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b" w:history="1">
        <w:r w:rsidR="00450B64" w:rsidRPr="00932A4F">
          <w:rPr>
            <w:noProof/>
            <w:lang w:val="en-US"/>
          </w:rPr>
          <w:t>Приложение Б. Алгоритмы ведения пациента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__RefHeading___doc_b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v" w:history="1">
        <w:r w:rsidR="00450B64" w:rsidRPr="00932A4F">
          <w:rPr>
            <w:noProof/>
            <w:lang w:val="en-US"/>
          </w:rPr>
          <w:t>Приложение В. Информация для пациентов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__RefHeading___doc_v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A5FFA" w:rsidRDefault="00753954">
      <w:pPr>
        <w:tabs>
          <w:tab w:val="right" w:leader="dot" w:pos="9345"/>
        </w:tabs>
        <w:rPr>
          <w:noProof/>
        </w:rPr>
      </w:pPr>
      <w:hyperlink w:anchor="__RefHeading___doc_g" w:history="1">
        <w:r w:rsidR="00450B64" w:rsidRPr="00932A4F">
          <w:rPr>
            <w:noProof/>
            <w:lang w:val="en-US"/>
          </w:rPr>
          <w:t>Приложение Г.</w:t>
        </w:r>
        <w:r w:rsidR="00450B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0B64">
          <w:rPr>
            <w:noProof/>
            <w:webHidden/>
          </w:rPr>
          <w:instrText xml:space="preserve"> PAGEREF __RefHe</w:instrText>
        </w:r>
        <w:r w:rsidR="00450B64">
          <w:rPr>
            <w:noProof/>
            <w:webHidden/>
          </w:rPr>
          <w:instrText xml:space="preserve">ading___doc_g \h </w:instrText>
        </w:r>
        <w:r>
          <w:rPr>
            <w:noProof/>
            <w:webHidden/>
          </w:rPr>
        </w:r>
        <w:r w:rsidR="00E33142">
          <w:rPr>
            <w:noProof/>
            <w:webHidden/>
          </w:rPr>
          <w:fldChar w:fldCharType="separate"/>
        </w:r>
        <w:r w:rsidR="00E33142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A5FFA" w:rsidRDefault="00753954">
      <w:r>
        <w:rPr>
          <w:b/>
          <w:bCs/>
          <w:noProof/>
        </w:rPr>
        <w:fldChar w:fldCharType="end"/>
      </w:r>
    </w:p>
    <w:p w:rsidR="00753954" w:rsidRDefault="00450B64">
      <w:r>
        <w:br w:type="page"/>
      </w:r>
      <w:bookmarkStart w:id="1" w:name="__RefHeading___doc_key_words"/>
      <w:r>
        <w:rPr>
          <w:b/>
        </w:rPr>
        <w:lastRenderedPageBreak/>
        <w:t>Ключевые слова</w:t>
      </w:r>
      <w:bookmarkEnd w:id="1"/>
    </w:p>
    <w:p w:rsidR="00753954" w:rsidRDefault="00753954" w:rsidP="00450B64">
      <w:pPr>
        <w:numPr>
          <w:ilvl w:val="0"/>
          <w:numId w:val="3"/>
        </w:numPr>
        <w:spacing w:before="100" w:beforeAutospacing="1" w:after="100" w:afterAutospacing="1" w:line="240" w:lineRule="auto"/>
        <w:divId w:val="1503353247"/>
        <w:rPr>
          <w:rFonts w:eastAsia="Times New Roman"/>
        </w:rPr>
      </w:pPr>
      <w:r>
        <w:rPr>
          <w:rFonts w:eastAsia="Times New Roman"/>
        </w:rPr>
        <w:t>Генитальный герпес</w:t>
      </w:r>
    </w:p>
    <w:p w:rsidR="00753954" w:rsidRDefault="00753954" w:rsidP="00450B64">
      <w:pPr>
        <w:numPr>
          <w:ilvl w:val="0"/>
          <w:numId w:val="3"/>
        </w:numPr>
        <w:spacing w:before="100" w:beforeAutospacing="1" w:after="100" w:afterAutospacing="1" w:line="240" w:lineRule="auto"/>
        <w:divId w:val="1503353247"/>
        <w:rPr>
          <w:rFonts w:eastAsia="Times New Roman"/>
        </w:rPr>
      </w:pPr>
      <w:r>
        <w:rPr>
          <w:rFonts w:eastAsia="Times New Roman"/>
        </w:rPr>
        <w:t>Вирус простого герпеса I типа</w:t>
      </w:r>
    </w:p>
    <w:p w:rsidR="00753954" w:rsidRDefault="00753954" w:rsidP="00450B64">
      <w:pPr>
        <w:numPr>
          <w:ilvl w:val="0"/>
          <w:numId w:val="3"/>
        </w:numPr>
        <w:spacing w:before="100" w:beforeAutospacing="1" w:after="100" w:afterAutospacing="1" w:line="240" w:lineRule="auto"/>
        <w:divId w:val="1503353247"/>
        <w:rPr>
          <w:rFonts w:eastAsia="Times New Roman"/>
        </w:rPr>
      </w:pPr>
      <w:r>
        <w:rPr>
          <w:rFonts w:eastAsia="Times New Roman"/>
        </w:rPr>
        <w:t>Вирус простого герпеса II типа</w:t>
      </w:r>
    </w:p>
    <w:p w:rsidR="00753954" w:rsidRDefault="00450B64">
      <w:r>
        <w:br w:type="page"/>
      </w:r>
      <w:bookmarkStart w:id="2" w:name="__RefHeading___doc_abbreviation"/>
      <w:r>
        <w:rPr>
          <w:b/>
        </w:rPr>
        <w:lastRenderedPageBreak/>
        <w:t>Список сокращений</w:t>
      </w:r>
      <w:bookmarkEnd w:id="2"/>
    </w:p>
    <w:p w:rsidR="00753954" w:rsidRDefault="00753954">
      <w:pPr>
        <w:pStyle w:val="afa"/>
        <w:divId w:val="514612991"/>
      </w:pPr>
      <w:r>
        <w:t>ВПГ – вирус простого герпеса</w:t>
      </w:r>
    </w:p>
    <w:p w:rsidR="00753954" w:rsidRDefault="00753954">
      <w:pPr>
        <w:pStyle w:val="afa"/>
        <w:divId w:val="514612991"/>
      </w:pPr>
      <w:r>
        <w:t>ДНК – дезоксирибонуклеиновая кислота</w:t>
      </w:r>
    </w:p>
    <w:p w:rsidR="00753954" w:rsidRDefault="00753954">
      <w:pPr>
        <w:pStyle w:val="afa"/>
        <w:divId w:val="514612991"/>
      </w:pPr>
      <w:r>
        <w:t>МКБ – Международная классификация болезней</w:t>
      </w:r>
    </w:p>
    <w:p w:rsidR="00753954" w:rsidRDefault="00753954">
      <w:pPr>
        <w:pStyle w:val="afa"/>
        <w:divId w:val="514612991"/>
      </w:pPr>
      <w:r>
        <w:t>РКИ – рандомизированные контролируемые исследования</w:t>
      </w:r>
    </w:p>
    <w:p w:rsidR="00753954" w:rsidRDefault="00450B64">
      <w:r>
        <w:br w:type="page"/>
      </w:r>
      <w:bookmarkStart w:id="3" w:name="__RefHeading___doc_terms"/>
      <w:r>
        <w:rPr>
          <w:b/>
        </w:rPr>
        <w:lastRenderedPageBreak/>
        <w:t>Термины и определения</w:t>
      </w:r>
      <w:bookmarkEnd w:id="3"/>
    </w:p>
    <w:p w:rsidR="00753954" w:rsidRDefault="00753954">
      <w:pPr>
        <w:pStyle w:val="afa"/>
        <w:divId w:val="708647436"/>
      </w:pPr>
      <w:r>
        <w:t>Генитальный герпес – хроническое рецидивирующее вирусное заболевание, передаваемое преимущественно половым путем, которое вызывается вирусом простого герпеса II и/или I типа.</w:t>
      </w:r>
    </w:p>
    <w:p w:rsidR="00753954" w:rsidRDefault="00450B64">
      <w:r>
        <w:br w:type="page"/>
      </w:r>
      <w:bookmarkStart w:id="4" w:name="__RefHeading___doc_1"/>
      <w:r>
        <w:rPr>
          <w:b/>
        </w:rPr>
        <w:lastRenderedPageBreak/>
        <w:t>1. Краткая информация</w:t>
      </w:r>
      <w:bookmarkEnd w:id="4"/>
    </w:p>
    <w:p w:rsidR="00753954" w:rsidRDefault="00753954">
      <w:pPr>
        <w:pStyle w:val="2"/>
        <w:divId w:val="1771005566"/>
        <w:rPr>
          <w:rFonts w:eastAsia="Times New Roman"/>
        </w:rPr>
      </w:pPr>
      <w:r>
        <w:rPr>
          <w:rFonts w:eastAsia="Times New Roman"/>
        </w:rPr>
        <w:t>1.1 Определение</w:t>
      </w:r>
    </w:p>
    <w:p w:rsidR="00753954" w:rsidRDefault="00753954">
      <w:pPr>
        <w:pStyle w:val="afa"/>
        <w:divId w:val="1771005566"/>
        <w:rPr>
          <w:rFonts w:eastAsiaTheme="minorEastAsia"/>
        </w:rPr>
      </w:pPr>
      <w:r>
        <w:t>Генитальный герпес – хроническое рецидивирующее вирусное заболевание, передаваемое преимущественно половым путем, которое вызывается вирусом простого герпеса II и/или I типа.</w:t>
      </w:r>
    </w:p>
    <w:p w:rsidR="00753954" w:rsidRDefault="00753954">
      <w:pPr>
        <w:pStyle w:val="2"/>
        <w:divId w:val="1771005566"/>
        <w:rPr>
          <w:rFonts w:eastAsia="Times New Roman"/>
        </w:rPr>
      </w:pPr>
      <w:r>
        <w:rPr>
          <w:rFonts w:eastAsia="Times New Roman"/>
        </w:rPr>
        <w:t>1.2 Этиология и патогенез</w:t>
      </w:r>
    </w:p>
    <w:p w:rsidR="00753954" w:rsidRDefault="00753954">
      <w:pPr>
        <w:pStyle w:val="afa"/>
        <w:divId w:val="1771005566"/>
        <w:rPr>
          <w:rFonts w:eastAsiaTheme="minorEastAsia"/>
        </w:rPr>
      </w:pPr>
      <w:r>
        <w:t xml:space="preserve">Генитальный герпес вызывается вирусом простого герпеса (ВПГ) как I, так и II типа, при этом частота выявления ВПГ II типа выше. ВПГ является дерматонейротропным ДНК-содержащим вирусом, относящимся к подсемейству альфа-герпесвирусов семейства </w:t>
      </w:r>
      <w:r>
        <w:rPr>
          <w:rStyle w:val="aff9"/>
        </w:rPr>
        <w:t>Herpesviridae</w:t>
      </w:r>
      <w:r>
        <w:t>.</w:t>
      </w:r>
    </w:p>
    <w:p w:rsidR="00753954" w:rsidRDefault="00753954">
      <w:pPr>
        <w:pStyle w:val="afa"/>
        <w:divId w:val="1771005566"/>
      </w:pPr>
      <w:r>
        <w:t xml:space="preserve">Инфицирование взрослых лиц может происходить  половым путем (при любых формах половых контактов с больным герпетической инфекцией как при наличии клинической симптоматики у партнера, являющегося источником заболевания, так и при ее отсутствии, но в период выделения вируса) и путем аутоинокуляции; </w:t>
      </w:r>
      <w:r>
        <w:rPr>
          <w:rStyle w:val="aff9"/>
        </w:rPr>
        <w:t> </w:t>
      </w:r>
      <w:r>
        <w:t>инфицирование детей</w:t>
      </w:r>
      <w:r>
        <w:rPr>
          <w:rStyle w:val="aff9"/>
        </w:rPr>
        <w:t xml:space="preserve"> – </w:t>
      </w:r>
      <w:r>
        <w:t>трансплацентарным (редко), перинатальным, половым, контактно-бытовым (при нарушении правил личной гигиены и ухода за детьми) путями и путем аутоинокуляции.</w:t>
      </w:r>
    </w:p>
    <w:p w:rsidR="00753954" w:rsidRDefault="00753954">
      <w:pPr>
        <w:pStyle w:val="afa"/>
        <w:divId w:val="1771005566"/>
      </w:pPr>
      <w:r>
        <w:t>В очаге инокуляции происходит размножение ВПГ в эпителиоцитах, далее вирусы проникают в кровяное русло и лимфатическую систему, внедряются в нервные окончания кожи и слизистых оболочек. Продвигаясь центростремительно по аксоплазме, ВПГ достигают периферических, затем сегментарных и региональных чувствительных ганглиев центральной нервной системы, где сохраняются пожизненно в нервных клетках (латенция в виде безоболочечных L и PREP-частиц). Полный цикл репродукции герпесвирусы проходят только в клетках эпителиального типа. Под воздействием триггерных факторов (стрессовых ситуаций, ультрафиолетового или радиоактивного облучения, иммунодефицитных состояний и др.) происходит реактивация вируса и манифестация заболевания.</w:t>
      </w:r>
    </w:p>
    <w:p w:rsidR="00753954" w:rsidRDefault="00753954">
      <w:pPr>
        <w:pStyle w:val="2"/>
        <w:divId w:val="1771005566"/>
        <w:rPr>
          <w:rFonts w:eastAsia="Times New Roman"/>
        </w:rPr>
      </w:pPr>
      <w:r>
        <w:rPr>
          <w:rFonts w:eastAsia="Times New Roman"/>
        </w:rPr>
        <w:t>1.3 Эпидемиология</w:t>
      </w:r>
    </w:p>
    <w:p w:rsidR="00753954" w:rsidRDefault="00753954">
      <w:pPr>
        <w:pStyle w:val="afa"/>
        <w:divId w:val="1771005566"/>
        <w:rPr>
          <w:rFonts w:eastAsiaTheme="minorEastAsia"/>
        </w:rPr>
      </w:pPr>
      <w:r>
        <w:t>Генитальный герпес – наиболее распространенное эрозивно-язвенное заболевание гениталий. Сероэпидемиологические исследования указывают на повсеместное распространение генитальной герпетической инфекции. Ежегодно генитальным герпесом заболевают около 500 000 человек. У большинства из них инфекция остается недиагностированной вследствие частых субклинических и атипичных форм заболевания.</w:t>
      </w:r>
    </w:p>
    <w:p w:rsidR="00753954" w:rsidRDefault="00753954">
      <w:pPr>
        <w:pStyle w:val="afa"/>
        <w:divId w:val="1771005566"/>
      </w:pPr>
      <w:r>
        <w:t>В эпидемиологии генитального герпеса важное значение имеет бессимптомное вирусовыделение: до 70% случаев передачи генитального ВПГ происходит при бессимптомном течении инфекционного процесса у больного.</w:t>
      </w:r>
    </w:p>
    <w:p w:rsidR="00753954" w:rsidRDefault="00753954">
      <w:pPr>
        <w:pStyle w:val="afa"/>
        <w:divId w:val="1771005566"/>
      </w:pPr>
      <w:r>
        <w:lastRenderedPageBreak/>
        <w:t>Частота инфицирования вновь приобретенным ВПГ II типа составляет около 5 случаев на 100 человек в год. В Российской Федерации показатель заболеваемости генитальным герпесом в 2015 году  составил 13,5 случаев на 100000 населения: у лиц в возрасте от 0 до 14 лет – 0,1 случаев на 100000 населения, у лиц в возрасте 15-17 лет - 9,4 случаев на 100000 населения, у лиц в возрасте старше 18 лет - 16,4 случаев на 100000 населения.</w:t>
      </w:r>
    </w:p>
    <w:p w:rsidR="00753954" w:rsidRDefault="00753954">
      <w:pPr>
        <w:pStyle w:val="2"/>
        <w:divId w:val="1771005566"/>
        <w:rPr>
          <w:rFonts w:eastAsia="Times New Roman"/>
        </w:rPr>
      </w:pPr>
      <w:r>
        <w:rPr>
          <w:rFonts w:eastAsia="Times New Roman"/>
        </w:rPr>
        <w:t>1.4 Кодирование по МКБ 10</w:t>
      </w:r>
    </w:p>
    <w:p w:rsidR="00753954" w:rsidRDefault="00753954">
      <w:pPr>
        <w:pStyle w:val="afa"/>
        <w:divId w:val="1771005566"/>
        <w:rPr>
          <w:rFonts w:eastAsiaTheme="minorEastAsia"/>
        </w:rPr>
      </w:pPr>
      <w:r>
        <w:rPr>
          <w:rStyle w:val="aff8"/>
        </w:rPr>
        <w:t xml:space="preserve">Аногенитальная герпетическая вирусная инфекция [herpes simplex] </w:t>
      </w:r>
      <w:r>
        <w:t xml:space="preserve">(A60): </w:t>
      </w:r>
      <w:r>
        <w:rPr>
          <w:rStyle w:val="aff8"/>
        </w:rPr>
        <w:t> </w:t>
      </w:r>
    </w:p>
    <w:p w:rsidR="00753954" w:rsidRDefault="00753954">
      <w:pPr>
        <w:pStyle w:val="afa"/>
        <w:divId w:val="1771005566"/>
      </w:pPr>
      <w:r>
        <w:t>A60.0 – Герпетические инфекции половых органов и мочеполового тракта;</w:t>
      </w:r>
    </w:p>
    <w:p w:rsidR="00753954" w:rsidRDefault="00753954">
      <w:pPr>
        <w:pStyle w:val="afa"/>
        <w:divId w:val="1771005566"/>
      </w:pPr>
      <w:r>
        <w:t>A60.1 – Герпетические инфекции перианальных кожных покровов и прямой кишки;</w:t>
      </w:r>
    </w:p>
    <w:p w:rsidR="00753954" w:rsidRDefault="00753954">
      <w:pPr>
        <w:pStyle w:val="afa"/>
        <w:divId w:val="1771005566"/>
      </w:pPr>
      <w:r>
        <w:t>A60.9 – Аногенитальная герпетическая инфекция неуточненная.</w:t>
      </w:r>
    </w:p>
    <w:p w:rsidR="00753954" w:rsidRDefault="00753954">
      <w:pPr>
        <w:pStyle w:val="2"/>
        <w:divId w:val="1771005566"/>
        <w:rPr>
          <w:rFonts w:eastAsia="Times New Roman"/>
        </w:rPr>
      </w:pPr>
      <w:r>
        <w:rPr>
          <w:rFonts w:eastAsia="Times New Roman"/>
        </w:rPr>
        <w:t>1.5 Классификация</w:t>
      </w:r>
    </w:p>
    <w:p w:rsidR="00753954" w:rsidRDefault="00753954" w:rsidP="00450B64">
      <w:pPr>
        <w:numPr>
          <w:ilvl w:val="0"/>
          <w:numId w:val="4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Герпетическая инфекция половых органов и мочеполового тракта:</w:t>
      </w:r>
    </w:p>
    <w:p w:rsidR="00753954" w:rsidRDefault="00753954" w:rsidP="00450B64">
      <w:pPr>
        <w:numPr>
          <w:ilvl w:val="0"/>
          <w:numId w:val="5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герпетический уретрит;</w:t>
      </w:r>
    </w:p>
    <w:p w:rsidR="00753954" w:rsidRDefault="00753954" w:rsidP="00450B64">
      <w:pPr>
        <w:numPr>
          <w:ilvl w:val="0"/>
          <w:numId w:val="5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 герпетический вагинит;</w:t>
      </w:r>
    </w:p>
    <w:p w:rsidR="00753954" w:rsidRDefault="00753954" w:rsidP="00450B64">
      <w:pPr>
        <w:numPr>
          <w:ilvl w:val="0"/>
          <w:numId w:val="5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герпетический цервицит;</w:t>
      </w:r>
    </w:p>
    <w:p w:rsidR="00753954" w:rsidRDefault="00753954" w:rsidP="00450B64">
      <w:pPr>
        <w:numPr>
          <w:ilvl w:val="0"/>
          <w:numId w:val="5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герпетический цистит.</w:t>
      </w:r>
    </w:p>
    <w:p w:rsidR="00753954" w:rsidRDefault="00753954" w:rsidP="00450B64">
      <w:pPr>
        <w:numPr>
          <w:ilvl w:val="0"/>
          <w:numId w:val="6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Герпетическая инфекция перианальных кожных покровов и прямой кишки.</w:t>
      </w:r>
    </w:p>
    <w:p w:rsidR="00753954" w:rsidRDefault="00753954">
      <w:pPr>
        <w:pStyle w:val="afa"/>
        <w:divId w:val="1771005566"/>
        <w:rPr>
          <w:rFonts w:eastAsiaTheme="minorEastAsia"/>
        </w:rPr>
      </w:pPr>
      <w:r>
        <w:t>В клинической практике также различают: первый клинический эпизод генитального герпеса и рецидивирующий генитальный герпес.</w:t>
      </w:r>
    </w:p>
    <w:p w:rsidR="00753954" w:rsidRDefault="00753954">
      <w:pPr>
        <w:pStyle w:val="2"/>
        <w:divId w:val="1771005566"/>
        <w:rPr>
          <w:rFonts w:eastAsia="Times New Roman"/>
        </w:rPr>
      </w:pPr>
      <w:r>
        <w:rPr>
          <w:rFonts w:eastAsia="Times New Roman"/>
        </w:rPr>
        <w:t>1.6 Клиническая картина</w:t>
      </w:r>
    </w:p>
    <w:p w:rsidR="00753954" w:rsidRDefault="00753954">
      <w:pPr>
        <w:pStyle w:val="afa"/>
        <w:divId w:val="1771005566"/>
        <w:rPr>
          <w:rFonts w:eastAsiaTheme="minorEastAsia"/>
        </w:rPr>
      </w:pPr>
      <w:r>
        <w:rPr>
          <w:rStyle w:val="aff9"/>
        </w:rPr>
        <w:t>Манифестная (типичная) форма</w:t>
      </w:r>
      <w:r>
        <w:t xml:space="preserve"> генитального герпеса характеризуется:</w:t>
      </w:r>
    </w:p>
    <w:p w:rsidR="00753954" w:rsidRDefault="00753954" w:rsidP="00450B64">
      <w:pPr>
        <w:numPr>
          <w:ilvl w:val="0"/>
          <w:numId w:val="7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гиперемией и отечностью кожных покровов и/или слизистых оболочек в области поражения: у мужчин – в области уретры, полового члена, мошонки, лобка, промежности, перианальной области; у женщин -  в области уретры, вульвы, клитора, влагалища, шейки матки, лобка, промежности, перианальной области;</w:t>
      </w:r>
    </w:p>
    <w:p w:rsidR="00753954" w:rsidRDefault="00753954" w:rsidP="00450B64">
      <w:pPr>
        <w:numPr>
          <w:ilvl w:val="0"/>
          <w:numId w:val="7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единичными или множественными везикулезными элементами полициклической фестончатой формы с прозрачным содержимым, нередко билатеральными, на гиперемированном основании, локализующимися в области поражения. После вскрытия везикулезных элементов образуются поверхностные, покрытые сероватым налетом эрозии размером 2-4 мм соответственно числу бывших пузырьков или сплошная эрозия с гладким дном и неподрытыми краями, окруженными ярко-красным ободком;</w:t>
      </w:r>
    </w:p>
    <w:p w:rsidR="00753954" w:rsidRDefault="00753954" w:rsidP="00450B64">
      <w:pPr>
        <w:numPr>
          <w:ilvl w:val="0"/>
          <w:numId w:val="7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увеличением и болезненностью паховых лимфатических узлов;</w:t>
      </w:r>
    </w:p>
    <w:p w:rsidR="00753954" w:rsidRDefault="00753954" w:rsidP="00450B64">
      <w:pPr>
        <w:numPr>
          <w:ilvl w:val="0"/>
          <w:numId w:val="7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появлением  гнойного экссудата при присоединении вторичной инфекции.</w:t>
      </w:r>
    </w:p>
    <w:p w:rsidR="00753954" w:rsidRDefault="00753954">
      <w:pPr>
        <w:pStyle w:val="afa"/>
        <w:divId w:val="1771005566"/>
        <w:rPr>
          <w:rFonts w:eastAsiaTheme="minorEastAsia"/>
        </w:rPr>
      </w:pPr>
      <w:r>
        <w:rPr>
          <w:rStyle w:val="aff9"/>
        </w:rPr>
        <w:lastRenderedPageBreak/>
        <w:t xml:space="preserve">Атипичные формы генитального герпеса </w:t>
      </w:r>
      <w:r>
        <w:t>могут быть представлены</w:t>
      </w:r>
      <w:r>
        <w:rPr>
          <w:rStyle w:val="aff9"/>
        </w:rPr>
        <w:t xml:space="preserve">: </w:t>
      </w:r>
    </w:p>
    <w:p w:rsidR="00753954" w:rsidRDefault="00753954" w:rsidP="00450B64">
      <w:pPr>
        <w:numPr>
          <w:ilvl w:val="0"/>
          <w:numId w:val="8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гиперемией и отечностью кожных покровов и/или слизистых оболочек в  области поражения при отсутствии патологических высыпаний;</w:t>
      </w:r>
    </w:p>
    <w:p w:rsidR="00753954" w:rsidRDefault="00753954" w:rsidP="00450B64">
      <w:pPr>
        <w:numPr>
          <w:ilvl w:val="0"/>
          <w:numId w:val="8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рецидивирующими трещинами слизистой оболочки наружных половых органов, которые самостоятельно эпителизируются в течение 4-5 дней;</w:t>
      </w:r>
    </w:p>
    <w:p w:rsidR="00753954" w:rsidRDefault="00753954" w:rsidP="00450B64">
      <w:pPr>
        <w:numPr>
          <w:ilvl w:val="0"/>
          <w:numId w:val="8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единичными или множественными везикулезными элементами с геморрагическим содержимым (геморрагическая форма);</w:t>
      </w:r>
    </w:p>
    <w:p w:rsidR="00753954" w:rsidRDefault="00753954" w:rsidP="00450B64">
      <w:pPr>
        <w:numPr>
          <w:ilvl w:val="0"/>
          <w:numId w:val="8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очагом поражения в виде зудящего пятна или папулы при отсутствии везикулезных элементов (абортивная форма);</w:t>
      </w:r>
    </w:p>
    <w:p w:rsidR="00753954" w:rsidRDefault="00753954" w:rsidP="00450B64">
      <w:pPr>
        <w:numPr>
          <w:ilvl w:val="0"/>
          <w:numId w:val="8"/>
        </w:numPr>
        <w:spacing w:before="100" w:beforeAutospacing="1" w:after="100" w:afterAutospacing="1" w:line="240" w:lineRule="auto"/>
        <w:divId w:val="1771005566"/>
        <w:rPr>
          <w:rFonts w:eastAsia="Times New Roman"/>
        </w:rPr>
      </w:pPr>
      <w:r>
        <w:rPr>
          <w:rFonts w:eastAsia="Times New Roman"/>
        </w:rPr>
        <w:t>кратковременным появлением на слизистой оболочке наружных половых органов поверхностных трещинок, сопровождающихся незначительным зудом.</w:t>
      </w:r>
    </w:p>
    <w:p w:rsidR="00753954" w:rsidRDefault="00753954">
      <w:pPr>
        <w:pStyle w:val="afa"/>
        <w:divId w:val="1771005566"/>
        <w:rPr>
          <w:rFonts w:eastAsiaTheme="minorEastAsia"/>
        </w:rPr>
      </w:pPr>
      <w:r>
        <w:t>Тяжесть и продолжительность клинических проявлений при рецидивах генитального герпеса менее выражены, чем при первом эпизоде заболевания.</w:t>
      </w:r>
    </w:p>
    <w:p w:rsidR="00753954" w:rsidRDefault="00753954">
      <w:pPr>
        <w:pStyle w:val="afa"/>
        <w:divId w:val="1771005566"/>
      </w:pPr>
      <w:r>
        <w:t xml:space="preserve">Рецидивы при инфицировании ВПГ II типа возникают раньше и чаще, чем при инфицировании ВПГ I типа. </w:t>
      </w:r>
    </w:p>
    <w:p w:rsidR="00753954" w:rsidRDefault="00450B64">
      <w:bookmarkStart w:id="5" w:name="__RefHeading___doc_2"/>
      <w:r>
        <w:rPr>
          <w:b/>
        </w:rPr>
        <w:t>2. Диагностика</w:t>
      </w:r>
      <w:bookmarkEnd w:id="5"/>
    </w:p>
    <w:p w:rsidR="00753954" w:rsidRDefault="00753954" w:rsidP="00450B64">
      <w:pPr>
        <w:numPr>
          <w:ilvl w:val="0"/>
          <w:numId w:val="9"/>
        </w:numPr>
        <w:spacing w:before="100" w:beforeAutospacing="1" w:after="100" w:afterAutospacing="1" w:line="240" w:lineRule="auto"/>
        <w:divId w:val="2111316373"/>
        <w:rPr>
          <w:rFonts w:eastAsia="Times New Roman"/>
        </w:rPr>
      </w:pPr>
    </w:p>
    <w:p w:rsidR="00753954" w:rsidRDefault="00753954" w:rsidP="00450B64">
      <w:pPr>
        <w:pStyle w:val="2"/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divId w:val="2111316373"/>
        <w:rPr>
          <w:rFonts w:eastAsia="Times New Roman"/>
        </w:rPr>
      </w:pPr>
      <w:r>
        <w:rPr>
          <w:rFonts w:eastAsia="Times New Roman"/>
        </w:rPr>
        <w:t>2.1 Жалобы и анамнез</w:t>
      </w:r>
    </w:p>
    <w:p w:rsidR="00753954" w:rsidRDefault="00753954">
      <w:pPr>
        <w:pStyle w:val="afa"/>
        <w:ind w:left="720"/>
        <w:divId w:val="2111316373"/>
        <w:rPr>
          <w:rFonts w:eastAsiaTheme="minorEastAsia"/>
        </w:rPr>
      </w:pPr>
      <w:r>
        <w:t>Больные предъявляют жалобы на болезненные высыпания в области половых органов и/или в перианальной области; зуд, боль, парестезии в области поражения; болезненность во время половых контактов (диспареуния); при локализации высыпаний в области уретры – на зуд, жжение, болезненность при мочеиспускании (дизурию); при вагинальной локализации высыпаний – на слизисто-гнойные вагинальные выделения; на общие симптомы интоксикации (повышение температуры тела, головную боль, тошноту, недомогание, миалгию, нарушения сна), возникающие чаще  при первом эпизоде заболевания, чем при его рецидиве.</w:t>
      </w:r>
    </w:p>
    <w:p w:rsidR="00753954" w:rsidRDefault="00753954">
      <w:pPr>
        <w:pStyle w:val="2"/>
        <w:ind w:left="720"/>
        <w:divId w:val="2111316373"/>
        <w:rPr>
          <w:rFonts w:eastAsia="Times New Roman"/>
        </w:rPr>
      </w:pPr>
      <w:r>
        <w:rPr>
          <w:rFonts w:eastAsia="Times New Roman"/>
        </w:rPr>
        <w:t>2.2 Физикальное обследование</w:t>
      </w:r>
    </w:p>
    <w:p w:rsidR="00753954" w:rsidRDefault="00753954">
      <w:pPr>
        <w:pStyle w:val="afa"/>
        <w:ind w:left="720"/>
        <w:divId w:val="2111316373"/>
        <w:rPr>
          <w:rFonts w:eastAsiaTheme="minorEastAsia"/>
        </w:rPr>
      </w:pPr>
      <w:r>
        <w:rPr>
          <w:rStyle w:val="aff9"/>
        </w:rPr>
        <w:t>Объективные клинические проявления генитального герпеса, выявляемые при физикальном обследовании, описаны в разделе «Клиническая картина».</w:t>
      </w:r>
    </w:p>
    <w:p w:rsidR="00753954" w:rsidRDefault="00753954">
      <w:pPr>
        <w:pStyle w:val="2"/>
        <w:ind w:left="720"/>
        <w:divId w:val="2111316373"/>
        <w:rPr>
          <w:rFonts w:eastAsia="Times New Roman"/>
        </w:rPr>
      </w:pPr>
      <w:r>
        <w:rPr>
          <w:rStyle w:val="aff8"/>
          <w:rFonts w:eastAsia="Times New Roman"/>
          <w:b/>
          <w:bCs w:val="0"/>
        </w:rPr>
        <w:t>2.3 Лабораторная диагностика</w:t>
      </w:r>
    </w:p>
    <w:p w:rsidR="00753954" w:rsidRDefault="00753954" w:rsidP="00450B64">
      <w:pPr>
        <w:numPr>
          <w:ilvl w:val="1"/>
          <w:numId w:val="9"/>
        </w:numPr>
        <w:spacing w:before="100" w:beforeAutospacing="1" w:after="100" w:afterAutospacing="1" w:line="240" w:lineRule="auto"/>
        <w:divId w:val="2111316373"/>
        <w:rPr>
          <w:rFonts w:eastAsia="Times New Roman"/>
        </w:rPr>
      </w:pPr>
      <w:r>
        <w:rPr>
          <w:rFonts w:eastAsia="Times New Roman"/>
        </w:rPr>
        <w:t>Для уточнения этиологии заболевания, при атипичных формах заболевания, а также с целью дифференциальной диагностики с другими заболеваниями</w:t>
      </w:r>
      <w:r>
        <w:rPr>
          <w:rStyle w:val="aff8"/>
          <w:rFonts w:eastAsia="Times New Roman"/>
        </w:rPr>
        <w:t xml:space="preserve"> рекомендуется</w:t>
      </w:r>
      <w:r>
        <w:rPr>
          <w:rFonts w:eastAsia="Times New Roman"/>
        </w:rPr>
        <w:t xml:space="preserve">  исследование содержимого везикул, смывов с тканей и органов, мазков-отпечатков, соскобов, биологических жидкостей и секретов организма (слизи, мочи, секрета предстательной железы) молекулярно-биологическими методами с использованием тест-систем, разрешенных к медицинскому применению в Российской Федерации [1-3].</w:t>
      </w:r>
    </w:p>
    <w:p w:rsidR="00753954" w:rsidRDefault="00753954">
      <w:pPr>
        <w:pStyle w:val="afa"/>
        <w:ind w:left="720"/>
        <w:divId w:val="2111316373"/>
        <w:rPr>
          <w:rFonts w:eastAsiaTheme="minorEastAsia"/>
        </w:rPr>
      </w:pPr>
      <w:r>
        <w:rPr>
          <w:rStyle w:val="aff8"/>
        </w:rPr>
        <w:lastRenderedPageBreak/>
        <w:t>Уровень убедительности рекомендаций А</w:t>
      </w:r>
      <w:r>
        <w:t xml:space="preserve"> (уровень достоверности доказательств – 1+)</w:t>
      </w:r>
    </w:p>
    <w:p w:rsidR="00753954" w:rsidRDefault="00753954">
      <w:pPr>
        <w:pStyle w:val="afa"/>
        <w:ind w:left="720"/>
        <w:divId w:val="2111316373"/>
      </w:pPr>
      <w:r>
        <w:rPr>
          <w:rStyle w:val="aff8"/>
        </w:rPr>
        <w:t xml:space="preserve">Комментарии: </w:t>
      </w:r>
      <w:r>
        <w:rPr>
          <w:rStyle w:val="aff9"/>
        </w:rPr>
        <w:t>Чувствительность методов составляет 98-100%, специфичность - 100%. На чувствительность исследования могут влиять различные ингибирующие факторы, вследствие чего предъявляются строгие требования к организации и режиму работы лаборатории для исключения контаминации клинического материала.</w:t>
      </w:r>
    </w:p>
    <w:p w:rsidR="00753954" w:rsidRDefault="00753954" w:rsidP="00450B64">
      <w:pPr>
        <w:numPr>
          <w:ilvl w:val="1"/>
          <w:numId w:val="9"/>
        </w:numPr>
        <w:spacing w:before="100" w:beforeAutospacing="1" w:after="100" w:afterAutospacing="1" w:line="240" w:lineRule="auto"/>
        <w:divId w:val="2111316373"/>
        <w:rPr>
          <w:rFonts w:eastAsia="Times New Roman"/>
        </w:rPr>
      </w:pPr>
      <w:r>
        <w:rPr>
          <w:rFonts w:eastAsia="Times New Roman"/>
        </w:rPr>
        <w:t xml:space="preserve">С целью выявления циркулирующих в сыворотке крови или других биологических жидкостях и секретах организма больного специфических противогерпетических антител (IgM, IgG) </w:t>
      </w:r>
      <w:r>
        <w:rPr>
          <w:rStyle w:val="aff8"/>
          <w:rFonts w:eastAsia="Times New Roman"/>
        </w:rPr>
        <w:t>рекомендуется</w:t>
      </w:r>
      <w:r>
        <w:rPr>
          <w:rFonts w:eastAsia="Times New Roman"/>
        </w:rPr>
        <w:t xml:space="preserve"> исследование методом иммуноферментного анализа [4-6].</w:t>
      </w:r>
    </w:p>
    <w:p w:rsidR="00753954" w:rsidRDefault="00753954">
      <w:pPr>
        <w:pStyle w:val="afa"/>
        <w:ind w:left="720"/>
        <w:divId w:val="2111316373"/>
        <w:rPr>
          <w:rFonts w:eastAsiaTheme="minorEastAsia"/>
        </w:rPr>
      </w:pPr>
      <w:r>
        <w:rPr>
          <w:rStyle w:val="aff8"/>
        </w:rPr>
        <w:t xml:space="preserve">Уровень убедительности рекомендаций В </w:t>
      </w:r>
      <w:r>
        <w:t>(уровень достоверности доказательств – 2++)</w:t>
      </w:r>
    </w:p>
    <w:p w:rsidR="00753954" w:rsidRDefault="00753954">
      <w:pPr>
        <w:pStyle w:val="afa"/>
        <w:ind w:left="720"/>
        <w:divId w:val="2111316373"/>
      </w:pPr>
      <w:r>
        <w:rPr>
          <w:rStyle w:val="aff8"/>
        </w:rPr>
        <w:t xml:space="preserve">Комментарии: </w:t>
      </w:r>
      <w:r>
        <w:rPr>
          <w:rStyle w:val="aff9"/>
        </w:rPr>
        <w:t>Чувствительность метода составляет 78-80%, специфичность – 80-90%.</w:t>
      </w:r>
    </w:p>
    <w:p w:rsidR="00753954" w:rsidRDefault="00753954">
      <w:pPr>
        <w:pStyle w:val="2"/>
        <w:ind w:left="720"/>
        <w:divId w:val="2111316373"/>
        <w:rPr>
          <w:rFonts w:eastAsia="Times New Roman"/>
        </w:rPr>
      </w:pPr>
      <w:r>
        <w:rPr>
          <w:rFonts w:eastAsia="Times New Roman"/>
        </w:rPr>
        <w:t>2.4 Инструментальная диагностика</w:t>
      </w:r>
    </w:p>
    <w:p w:rsidR="00753954" w:rsidRDefault="00753954">
      <w:pPr>
        <w:pStyle w:val="afa"/>
        <w:ind w:left="720"/>
        <w:divId w:val="2111316373"/>
        <w:rPr>
          <w:rFonts w:eastAsiaTheme="minorEastAsia"/>
        </w:rPr>
      </w:pPr>
      <w:r>
        <w:rPr>
          <w:rStyle w:val="aff9"/>
        </w:rPr>
        <w:t>Не применяется.</w:t>
      </w:r>
    </w:p>
    <w:p w:rsidR="00753954" w:rsidRDefault="00753954">
      <w:pPr>
        <w:pStyle w:val="2"/>
        <w:ind w:left="720"/>
        <w:divId w:val="2111316373"/>
        <w:rPr>
          <w:rFonts w:eastAsia="Times New Roman"/>
        </w:rPr>
      </w:pPr>
      <w:r>
        <w:rPr>
          <w:rFonts w:eastAsia="Times New Roman"/>
        </w:rPr>
        <w:t>2.5 Иная диагностика</w:t>
      </w:r>
    </w:p>
    <w:p w:rsidR="00753954" w:rsidRDefault="00753954" w:rsidP="00450B64">
      <w:pPr>
        <w:numPr>
          <w:ilvl w:val="1"/>
          <w:numId w:val="9"/>
        </w:numPr>
        <w:spacing w:before="100" w:beforeAutospacing="1" w:after="100" w:afterAutospacing="1" w:line="240" w:lineRule="auto"/>
        <w:divId w:val="2111316373"/>
        <w:rPr>
          <w:rFonts w:eastAsia="Times New Roman"/>
        </w:rPr>
      </w:pPr>
      <w:r>
        <w:rPr>
          <w:rStyle w:val="aff8"/>
          <w:rFonts w:eastAsia="Times New Roman"/>
        </w:rPr>
        <w:t>Рекомендуется</w:t>
      </w:r>
      <w:r>
        <w:rPr>
          <w:rFonts w:eastAsia="Times New Roman"/>
        </w:rPr>
        <w:t xml:space="preserve"> консультация врача-акушера-гинеколога при ведении беременных, больных генитальным герпесом [37].</w:t>
      </w:r>
    </w:p>
    <w:p w:rsidR="00753954" w:rsidRDefault="00753954">
      <w:pPr>
        <w:pStyle w:val="afa"/>
        <w:ind w:left="720"/>
        <w:divId w:val="2111316373"/>
        <w:rPr>
          <w:rFonts w:eastAsiaTheme="minorEastAsia"/>
        </w:rPr>
      </w:pPr>
      <w:r>
        <w:rPr>
          <w:rStyle w:val="aff8"/>
        </w:rPr>
        <w:t>Уровень убедительности рекомендаций D</w:t>
      </w:r>
      <w:r>
        <w:t xml:space="preserve"> (уровень достоверности доказательств – 4)</w:t>
      </w:r>
    </w:p>
    <w:p w:rsidR="00753954" w:rsidRDefault="00753954" w:rsidP="00450B64">
      <w:pPr>
        <w:numPr>
          <w:ilvl w:val="1"/>
          <w:numId w:val="9"/>
        </w:numPr>
        <w:spacing w:before="100" w:beforeAutospacing="1" w:after="100" w:afterAutospacing="1" w:line="240" w:lineRule="auto"/>
        <w:divId w:val="2111316373"/>
        <w:rPr>
          <w:rFonts w:eastAsia="Times New Roman"/>
        </w:rPr>
      </w:pPr>
      <w:r>
        <w:rPr>
          <w:rStyle w:val="aff8"/>
          <w:rFonts w:eastAsia="Times New Roman"/>
        </w:rPr>
        <w:t>Рекомендуется</w:t>
      </w:r>
      <w:r>
        <w:rPr>
          <w:rFonts w:eastAsia="Times New Roman"/>
        </w:rPr>
        <w:t xml:space="preserve"> консультация врача-неонатолога и врача-педиатра при ведении новорожденных, больных герпетической инфекцией [37].</w:t>
      </w:r>
    </w:p>
    <w:p w:rsidR="00753954" w:rsidRDefault="00753954">
      <w:pPr>
        <w:pStyle w:val="afa"/>
        <w:ind w:left="720"/>
        <w:divId w:val="2111316373"/>
        <w:rPr>
          <w:rFonts w:eastAsiaTheme="minorEastAsia"/>
        </w:rPr>
      </w:pPr>
      <w:r>
        <w:rPr>
          <w:rStyle w:val="aff8"/>
        </w:rPr>
        <w:t>Уровень убедительности рекомендаций  D</w:t>
      </w:r>
      <w:r>
        <w:t xml:space="preserve"> (уровень достоверности доказательств – 4)</w:t>
      </w:r>
    </w:p>
    <w:p w:rsidR="00753954" w:rsidRDefault="00753954" w:rsidP="00450B64">
      <w:pPr>
        <w:numPr>
          <w:ilvl w:val="1"/>
          <w:numId w:val="9"/>
        </w:numPr>
        <w:spacing w:before="100" w:beforeAutospacing="1" w:after="100" w:afterAutospacing="1" w:line="240" w:lineRule="auto"/>
        <w:divId w:val="2111316373"/>
        <w:rPr>
          <w:rFonts w:eastAsia="Times New Roman"/>
        </w:rPr>
      </w:pPr>
      <w:r>
        <w:rPr>
          <w:rStyle w:val="aff8"/>
          <w:rFonts w:eastAsia="Times New Roman"/>
        </w:rPr>
        <w:t>Рекомендуется</w:t>
      </w:r>
      <w:r>
        <w:rPr>
          <w:rFonts w:eastAsia="Times New Roman"/>
        </w:rPr>
        <w:t xml:space="preserve"> консультация врача-иммунолога при наличии иммунодефицитных состояний и частом рецидивировании заболевания (более 6 раз в год) [37].</w:t>
      </w:r>
    </w:p>
    <w:p w:rsidR="00753954" w:rsidRDefault="00753954">
      <w:pPr>
        <w:pStyle w:val="afa"/>
        <w:ind w:left="720"/>
        <w:divId w:val="2111316373"/>
        <w:rPr>
          <w:rFonts w:eastAsiaTheme="minorEastAsia"/>
        </w:rPr>
      </w:pPr>
      <w:r>
        <w:rPr>
          <w:rStyle w:val="aff8"/>
        </w:rPr>
        <w:t>Уровень убедительности рекомендаций D</w:t>
      </w:r>
      <w:r>
        <w:t xml:space="preserve"> (уровень достоверности доказательств – 4) </w:t>
      </w:r>
    </w:p>
    <w:p w:rsidR="00753954" w:rsidRDefault="00450B64">
      <w:bookmarkStart w:id="6" w:name="__RefHeading___doc_3"/>
      <w:r>
        <w:rPr>
          <w:b/>
        </w:rPr>
        <w:t>3. Лечение</w:t>
      </w:r>
      <w:bookmarkEnd w:id="6"/>
    </w:p>
    <w:p w:rsidR="00753954" w:rsidRDefault="00753954">
      <w:pPr>
        <w:pStyle w:val="2"/>
        <w:divId w:val="2021008012"/>
        <w:rPr>
          <w:rFonts w:eastAsia="Times New Roman"/>
        </w:rPr>
      </w:pPr>
      <w:r>
        <w:rPr>
          <w:rFonts w:eastAsia="Times New Roman"/>
        </w:rPr>
        <w:lastRenderedPageBreak/>
        <w:t>3.1 Консервативное лечение</w:t>
      </w:r>
    </w:p>
    <w:p w:rsidR="00753954" w:rsidRDefault="00753954" w:rsidP="00450B64">
      <w:pPr>
        <w:numPr>
          <w:ilvl w:val="0"/>
          <w:numId w:val="10"/>
        </w:numPr>
        <w:spacing w:before="100" w:beforeAutospacing="1" w:after="100" w:afterAutospacing="1" w:line="240" w:lineRule="auto"/>
        <w:divId w:val="2021008012"/>
        <w:rPr>
          <w:rFonts w:eastAsia="Times New Roman"/>
        </w:rPr>
      </w:pPr>
      <w:r>
        <w:rPr>
          <w:rStyle w:val="aff8"/>
          <w:rFonts w:eastAsia="Times New Roman"/>
        </w:rPr>
        <w:t>Рекомендуется</w:t>
      </w:r>
      <w:r>
        <w:rPr>
          <w:rFonts w:eastAsia="Times New Roman"/>
        </w:rPr>
        <w:t xml:space="preserve"> для лечения первичного клинического эпизода генитального герпеса назначать перорально:</w:t>
      </w:r>
    </w:p>
    <w:p w:rsidR="00753954" w:rsidRDefault="00753954">
      <w:pPr>
        <w:pStyle w:val="afa"/>
        <w:divId w:val="2021008012"/>
        <w:rPr>
          <w:rFonts w:eastAsiaTheme="minorEastAsia"/>
        </w:rPr>
      </w:pPr>
      <w:r>
        <w:t>ацикловир** 200 мг 5 раз в сутки в течение 7-10 дней [7-12, 16].</w:t>
      </w:r>
    </w:p>
    <w:p w:rsidR="00753954" w:rsidRDefault="00753954">
      <w:pPr>
        <w:pStyle w:val="afa"/>
        <w:divId w:val="2021008012"/>
      </w:pPr>
      <w:r>
        <w:rPr>
          <w:rStyle w:val="aff8"/>
        </w:rPr>
        <w:t>Уровень убедительности рекомендаций А</w:t>
      </w:r>
      <w:r>
        <w:t xml:space="preserve"> (уровень достоверности доказательств – 1+)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t>ацикловир** 400 мг 3 раза в сутки в течение 7-10 дней [7-11,4-5]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В </w:t>
      </w:r>
      <w:r>
        <w:t>(уровень достоверности доказательств – 2++)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t>валацикловир 500 мг 2 раза в сутки в течение 7-10 дней [7-12, 16].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А </w:t>
      </w:r>
      <w:r>
        <w:t>(уровень достоверности доказательств – 1+)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t>фамцикловир 250 мг 3 раза в сутки в течение 7-10 дней [7-12, 16].</w:t>
      </w:r>
    </w:p>
    <w:p w:rsidR="00753954" w:rsidRDefault="00753954">
      <w:pPr>
        <w:pStyle w:val="afa"/>
        <w:divId w:val="2021008012"/>
      </w:pPr>
      <w:r>
        <w:rPr>
          <w:rStyle w:val="aff8"/>
        </w:rPr>
        <w:t>Уровень убедительности рекомендаций А</w:t>
      </w:r>
      <w:r>
        <w:t xml:space="preserve"> (уровень достоверности доказательств – 1+)</w:t>
      </w:r>
    </w:p>
    <w:p w:rsidR="00753954" w:rsidRDefault="00753954" w:rsidP="00450B64">
      <w:pPr>
        <w:numPr>
          <w:ilvl w:val="0"/>
          <w:numId w:val="11"/>
        </w:numPr>
        <w:spacing w:before="100" w:beforeAutospacing="1" w:after="100" w:afterAutospacing="1" w:line="240" w:lineRule="auto"/>
        <w:divId w:val="2021008012"/>
        <w:rPr>
          <w:rFonts w:eastAsia="Times New Roman"/>
        </w:rPr>
      </w:pPr>
      <w:r>
        <w:rPr>
          <w:rStyle w:val="aff8"/>
          <w:rFonts w:eastAsia="Times New Roman"/>
        </w:rPr>
        <w:t>Рекомендуется</w:t>
      </w:r>
      <w:r>
        <w:rPr>
          <w:rFonts w:eastAsia="Times New Roman"/>
        </w:rPr>
        <w:t xml:space="preserve"> для лечения рецидива генитального герпеса назначать перорально: ацикловир** 200 мг 5 раз в сутки в течение 5 дней [7, 9, 12, 13, 14-19].</w:t>
      </w:r>
    </w:p>
    <w:p w:rsidR="00753954" w:rsidRDefault="00753954">
      <w:pPr>
        <w:pStyle w:val="afa"/>
        <w:divId w:val="2021008012"/>
        <w:rPr>
          <w:rFonts w:eastAsiaTheme="minorEastAsia"/>
        </w:rPr>
      </w:pPr>
      <w:r>
        <w:rPr>
          <w:rStyle w:val="aff8"/>
        </w:rPr>
        <w:t xml:space="preserve">Уровень убедительности рекомендаций А </w:t>
      </w:r>
      <w:r>
        <w:t>(уровень достоверности доказательств – 1++)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t>ацикловир** 400 мг 3 раза в сутки в течение 5 дней [8, 12]</w:t>
      </w:r>
      <w:r>
        <w:rPr>
          <w:rStyle w:val="aff8"/>
        </w:rPr>
        <w:t>.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В </w:t>
      </w:r>
      <w:r>
        <w:t>(уровень достоверности доказательств – 2++)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t>ацикловир** 800 мг 3 раза в сутки в течение 2 дней [7, 9, 12, 13, 14-19].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А </w:t>
      </w:r>
      <w:r>
        <w:t>(уровень достоверности доказательств – 1++)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t>валацикловир 500 мг 2 раза в сутки в течение 5 дней [7, 9, 12, 13, 14-19].</w:t>
      </w:r>
    </w:p>
    <w:p w:rsidR="00753954" w:rsidRDefault="00753954">
      <w:pPr>
        <w:pStyle w:val="afa"/>
        <w:divId w:val="2021008012"/>
      </w:pPr>
      <w:r>
        <w:rPr>
          <w:rStyle w:val="aff8"/>
        </w:rPr>
        <w:lastRenderedPageBreak/>
        <w:t xml:space="preserve">Уровень убедительности рекомендаций А </w:t>
      </w:r>
      <w:r>
        <w:t>(уровень достоверности доказательств – 1++)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t>валацикловир 1,0 г 2 раза в сутки в течение 1 дня [8, 12]</w:t>
      </w:r>
      <w:r>
        <w:rPr>
          <w:rStyle w:val="aff8"/>
        </w:rPr>
        <w:t xml:space="preserve">. 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В </w:t>
      </w:r>
      <w:r>
        <w:t>(уровень достоверности доказательств – 2++)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t>фамцикловир 125 мг 2 раза в сутки в течение 5 дней [7, 9, 12, 13, 14-19].</w:t>
      </w:r>
    </w:p>
    <w:p w:rsidR="00753954" w:rsidRDefault="00753954">
      <w:pPr>
        <w:pStyle w:val="afa"/>
        <w:divId w:val="2021008012"/>
      </w:pPr>
      <w:r>
        <w:rPr>
          <w:rStyle w:val="aff8"/>
        </w:rPr>
        <w:t>Уровень убедительности рекомендаций А</w:t>
      </w:r>
      <w:r>
        <w:t xml:space="preserve"> (уровень достоверности доказательств – 1++)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t>фамцикловир 1,0 г 2 раза в сутки в течение 1 дня [7, 9, 12, 13, 14-19].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А </w:t>
      </w:r>
      <w:r>
        <w:t>(уровень достоверности доказательств –1++)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Комментарии: </w:t>
      </w:r>
      <w:r>
        <w:rPr>
          <w:rStyle w:val="aff9"/>
        </w:rPr>
        <w:t>Показанием к проведению лечения генитального герпеса является наличие клинических проявлений заболевания. Наличие циркулирующих в сыворотке крови или других биологических жидкостях и секретах организма больного специфических противогерпетических антител не является показанием для назначения терапии.</w:t>
      </w:r>
    </w:p>
    <w:p w:rsidR="00753954" w:rsidRDefault="00753954">
      <w:pPr>
        <w:pStyle w:val="afa"/>
        <w:divId w:val="2021008012"/>
      </w:pPr>
      <w:r>
        <w:rPr>
          <w:rStyle w:val="aff9"/>
        </w:rPr>
        <w:t xml:space="preserve">Ни один из препаратов не имеет преимущества в эффективности воздействия на течение заболевания [1-9]. 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А </w:t>
      </w:r>
      <w:r>
        <w:t>(уровень достоверности доказательств – 1+)</w:t>
      </w:r>
    </w:p>
    <w:p w:rsidR="00753954" w:rsidRDefault="00753954">
      <w:pPr>
        <w:pStyle w:val="afa"/>
        <w:divId w:val="2021008012"/>
      </w:pPr>
      <w:r>
        <w:rPr>
          <w:rStyle w:val="aff9"/>
        </w:rPr>
        <w:t xml:space="preserve">Лечение не приводит к эрадикации вируса и не всегда влияет на частоту и тяжесть развития рецидивов в последующем. </w:t>
      </w:r>
    </w:p>
    <w:p w:rsidR="00753954" w:rsidRDefault="00753954" w:rsidP="00450B64">
      <w:pPr>
        <w:numPr>
          <w:ilvl w:val="0"/>
          <w:numId w:val="12"/>
        </w:numPr>
        <w:spacing w:before="100" w:beforeAutospacing="1" w:after="100" w:afterAutospacing="1" w:line="240" w:lineRule="auto"/>
        <w:divId w:val="2021008012"/>
        <w:rPr>
          <w:rFonts w:eastAsia="Times New Roman"/>
        </w:rPr>
      </w:pPr>
      <w:r>
        <w:rPr>
          <w:rStyle w:val="aff8"/>
          <w:rFonts w:eastAsia="Times New Roman"/>
        </w:rPr>
        <w:t>Рекомендуется</w:t>
      </w:r>
      <w:r>
        <w:rPr>
          <w:rFonts w:eastAsia="Times New Roman"/>
        </w:rPr>
        <w:t xml:space="preserve"> в качестве супрессивной терапии генитального герпеса назначать перорально:</w:t>
      </w:r>
    </w:p>
    <w:p w:rsidR="00753954" w:rsidRDefault="00753954">
      <w:pPr>
        <w:pStyle w:val="afa"/>
        <w:divId w:val="2021008012"/>
        <w:rPr>
          <w:rFonts w:eastAsiaTheme="minorEastAsia"/>
        </w:rPr>
      </w:pPr>
      <w:r>
        <w:t>валацикловир 500 мг 1 раз в сутки [19, 20]</w:t>
      </w:r>
      <w:r>
        <w:rPr>
          <w:rStyle w:val="aff8"/>
        </w:rPr>
        <w:t xml:space="preserve">. 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А </w:t>
      </w:r>
      <w:r>
        <w:t>(уровень достоверности доказательств – 1++)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t>фамцикловир 250 мг 2 раза в сутки [19, 20].</w:t>
      </w:r>
    </w:p>
    <w:p w:rsidR="00753954" w:rsidRDefault="00753954">
      <w:pPr>
        <w:pStyle w:val="afa"/>
        <w:divId w:val="2021008012"/>
      </w:pPr>
      <w:r>
        <w:rPr>
          <w:rStyle w:val="aff8"/>
        </w:rPr>
        <w:t>Уровень убедительности рекомендаций А (</w:t>
      </w:r>
      <w:r>
        <w:t>уровень достоверности доказательств – 1++)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lastRenderedPageBreak/>
        <w:t>ацикловир** 400 мг 2 раза в сутки [20, 21].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В </w:t>
      </w:r>
      <w:r>
        <w:t>(уровень достоверности доказательств – 2+)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Комментарии: </w:t>
      </w:r>
      <w:r>
        <w:rPr>
          <w:rStyle w:val="aff9"/>
        </w:rPr>
        <w:t xml:space="preserve">Показаниями к назначению супрессивной терапии являются: тяжелое, с частыми рецидивами (более 6 раз в год) и осложнениями течение заболевания; тяжелые продромальные симптомы; выраженная иммуносупрессия; нарушение психоэмоционального состояния в связи с возможностью передачи ВПГ. </w:t>
      </w:r>
    </w:p>
    <w:p w:rsidR="00753954" w:rsidRDefault="00753954">
      <w:pPr>
        <w:pStyle w:val="afa"/>
        <w:divId w:val="2021008012"/>
      </w:pPr>
      <w:r>
        <w:rPr>
          <w:rStyle w:val="aff9"/>
        </w:rPr>
        <w:t xml:space="preserve">Длительность супрессивной терапии определяется индивидуально. При достижении стойкого улучшения супрессивная терапия может быть прекращена. Эффективность супрессивной терапии оценивают как минимум по двум рецидивам. В случае ухудшения течения заболевания в дальнейшем может быть принято решение о продолжении супрессивной терапии. </w:t>
      </w:r>
    </w:p>
    <w:p w:rsidR="00753954" w:rsidRDefault="00753954" w:rsidP="00450B64">
      <w:pPr>
        <w:numPr>
          <w:ilvl w:val="0"/>
          <w:numId w:val="13"/>
        </w:numPr>
        <w:spacing w:before="100" w:beforeAutospacing="1" w:after="100" w:afterAutospacing="1" w:line="240" w:lineRule="auto"/>
        <w:divId w:val="2021008012"/>
        <w:rPr>
          <w:rFonts w:eastAsia="Times New Roman"/>
        </w:rPr>
      </w:pPr>
      <w:r>
        <w:rPr>
          <w:rStyle w:val="aff8"/>
          <w:rFonts w:eastAsia="Times New Roman"/>
        </w:rPr>
        <w:t>Рекомендуется</w:t>
      </w:r>
      <w:r>
        <w:rPr>
          <w:rFonts w:eastAsia="Times New Roman"/>
        </w:rPr>
        <w:t xml:space="preserve"> при рецидивирующем течении заболевания применение интерферона системного действия:</w:t>
      </w:r>
    </w:p>
    <w:p w:rsidR="00753954" w:rsidRDefault="00753954">
      <w:pPr>
        <w:pStyle w:val="afa"/>
        <w:divId w:val="2021008012"/>
        <w:rPr>
          <w:rFonts w:eastAsiaTheme="minorEastAsia"/>
        </w:rPr>
      </w:pPr>
      <w:r>
        <w:t>интерферон гамма** 500000 МЕ 1 раз в сутки подкожно через день, на курс 5 инъекций [32-35].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В </w:t>
      </w:r>
      <w:r>
        <w:t>(уровень достоверности доказательств – 2+)</w:t>
      </w:r>
    </w:p>
    <w:p w:rsidR="00753954" w:rsidRDefault="00753954" w:rsidP="00450B64">
      <w:pPr>
        <w:numPr>
          <w:ilvl w:val="0"/>
          <w:numId w:val="14"/>
        </w:numPr>
        <w:spacing w:before="100" w:beforeAutospacing="1" w:after="100" w:afterAutospacing="1" w:line="240" w:lineRule="auto"/>
        <w:divId w:val="2021008012"/>
        <w:rPr>
          <w:rFonts w:eastAsia="Times New Roman"/>
        </w:rPr>
      </w:pPr>
      <w:r>
        <w:rPr>
          <w:rStyle w:val="aff8"/>
          <w:rFonts w:eastAsia="Times New Roman"/>
        </w:rPr>
        <w:t>Рекомендуется</w:t>
      </w:r>
      <w:r>
        <w:rPr>
          <w:rFonts w:eastAsia="Times New Roman"/>
        </w:rPr>
        <w:t xml:space="preserve"> для лечения беременных с высокой частотой рецидивов в анамнезе (более 6 раз в год) и тем, у кого в I или во II триместре возник первичный клинический эпизод, прием ацикловира в последние 4 недели беременности. Такая тактика снижает риск возникновения рецидива заболевания [22-28].</w:t>
      </w:r>
    </w:p>
    <w:p w:rsidR="00753954" w:rsidRDefault="00753954">
      <w:pPr>
        <w:pStyle w:val="afa"/>
        <w:divId w:val="2021008012"/>
        <w:rPr>
          <w:rFonts w:eastAsiaTheme="minorEastAsia"/>
        </w:rPr>
      </w:pPr>
      <w:r>
        <w:rPr>
          <w:rStyle w:val="aff8"/>
        </w:rPr>
        <w:t xml:space="preserve">Уровень убедительности рекомендаций А </w:t>
      </w:r>
      <w:r>
        <w:t>(уровень достоверности доказательств – 1++)</w:t>
      </w:r>
    </w:p>
    <w:p w:rsidR="00753954" w:rsidRDefault="00753954">
      <w:pPr>
        <w:pStyle w:val="afa"/>
        <w:divId w:val="2021008012"/>
      </w:pPr>
      <w:r>
        <w:t xml:space="preserve">·         </w:t>
      </w:r>
      <w:r>
        <w:rPr>
          <w:rStyle w:val="aff8"/>
        </w:rPr>
        <w:t>Рекомендуется</w:t>
      </w:r>
      <w:r>
        <w:t xml:space="preserve"> в качестве профилактики неонатального герпеса планировать кесарево сечение всем беременным, у которых первичный эпизод возник после 34-й недели беременности, т.к. в этом случае существует значительный риск вирусовыделения во время родов [37].</w:t>
      </w:r>
    </w:p>
    <w:p w:rsidR="00753954" w:rsidRDefault="00753954">
      <w:pPr>
        <w:pStyle w:val="afa"/>
        <w:divId w:val="2021008012"/>
      </w:pPr>
      <w:r>
        <w:rPr>
          <w:rStyle w:val="aff8"/>
        </w:rPr>
        <w:t>Уровень убедительности рекомендаций В</w:t>
      </w:r>
      <w:r>
        <w:t xml:space="preserve"> (уровень достоверности доказательств – 2+)</w:t>
      </w:r>
    </w:p>
    <w:p w:rsidR="00753954" w:rsidRDefault="00753954">
      <w:pPr>
        <w:pStyle w:val="afa"/>
        <w:divId w:val="2021008012"/>
      </w:pPr>
      <w:r>
        <w:t xml:space="preserve">·         </w:t>
      </w:r>
      <w:r>
        <w:rPr>
          <w:rStyle w:val="aff8"/>
        </w:rPr>
        <w:t>Рекомендуется</w:t>
      </w:r>
      <w:r>
        <w:t>, если родоразрешение через естественные родовые пути неизбежно, проводить лечение у матери и ребенка:</w:t>
      </w:r>
    </w:p>
    <w:p w:rsidR="00753954" w:rsidRDefault="00753954">
      <w:pPr>
        <w:pStyle w:val="afa"/>
        <w:divId w:val="2021008012"/>
      </w:pPr>
      <w:r>
        <w:t>ацикловир** 200 мг 5 раз в сутки перорально в течение 5-10 дней [30].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С </w:t>
      </w:r>
      <w:r>
        <w:t>(уровень достоверности доказательств – 3)</w:t>
      </w:r>
    </w:p>
    <w:p w:rsidR="00753954" w:rsidRDefault="00753954">
      <w:pPr>
        <w:pStyle w:val="afa"/>
        <w:divId w:val="2021008012"/>
      </w:pPr>
      <w:r>
        <w:t>или</w:t>
      </w:r>
    </w:p>
    <w:p w:rsidR="00753954" w:rsidRDefault="00753954">
      <w:pPr>
        <w:pStyle w:val="afa"/>
        <w:divId w:val="2021008012"/>
      </w:pPr>
      <w:r>
        <w:t>ацикловир** 400 мг 3 раза в сутки перорально в течение 5-10 дней [30].</w:t>
      </w:r>
    </w:p>
    <w:p w:rsidR="00753954" w:rsidRDefault="00753954">
      <w:pPr>
        <w:pStyle w:val="afa"/>
        <w:divId w:val="2021008012"/>
      </w:pPr>
      <w:r>
        <w:rPr>
          <w:rStyle w:val="aff8"/>
        </w:rPr>
        <w:lastRenderedPageBreak/>
        <w:t xml:space="preserve">Уровень убедительности рекомендаций С </w:t>
      </w:r>
      <w:r>
        <w:t>(уровень достоверности доказательств – 3)</w:t>
      </w:r>
    </w:p>
    <w:p w:rsidR="00753954" w:rsidRDefault="00753954" w:rsidP="00450B64">
      <w:pPr>
        <w:numPr>
          <w:ilvl w:val="0"/>
          <w:numId w:val="15"/>
        </w:numPr>
        <w:spacing w:before="100" w:beforeAutospacing="1" w:after="100" w:afterAutospacing="1" w:line="240" w:lineRule="auto"/>
        <w:divId w:val="2021008012"/>
        <w:rPr>
          <w:rFonts w:eastAsia="Times New Roman"/>
        </w:rPr>
      </w:pPr>
      <w:r>
        <w:rPr>
          <w:rStyle w:val="aff8"/>
          <w:rFonts w:eastAsia="Times New Roman"/>
        </w:rPr>
        <w:t>Рекомендуется</w:t>
      </w:r>
      <w:r>
        <w:rPr>
          <w:rFonts w:eastAsia="Times New Roman"/>
        </w:rPr>
        <w:t xml:space="preserve"> для лечения герпеса в периоде новорожденности:</w:t>
      </w:r>
    </w:p>
    <w:p w:rsidR="00753954" w:rsidRDefault="00753954">
      <w:pPr>
        <w:pStyle w:val="afa"/>
        <w:divId w:val="2021008012"/>
        <w:rPr>
          <w:rFonts w:eastAsiaTheme="minorEastAsia"/>
        </w:rPr>
      </w:pPr>
      <w:r>
        <w:rPr>
          <w:rStyle w:val="aff9"/>
        </w:rPr>
        <w:t> </w:t>
      </w:r>
      <w:r>
        <w:t>ацикловир** 20 мг на кг массы тела внутривенно 3 раза в сутки в течение 10-21 дней [28,29 -31].</w:t>
      </w:r>
    </w:p>
    <w:p w:rsidR="00753954" w:rsidRDefault="00753954">
      <w:pPr>
        <w:pStyle w:val="afa"/>
        <w:divId w:val="2021008012"/>
      </w:pPr>
      <w:r>
        <w:rPr>
          <w:rStyle w:val="aff8"/>
        </w:rPr>
        <w:t xml:space="preserve">Уровень убедительности рекомендаций А </w:t>
      </w:r>
      <w:r>
        <w:t xml:space="preserve">(уровень достоверности доказательств – 1++) </w:t>
      </w:r>
    </w:p>
    <w:p w:rsidR="00753954" w:rsidRDefault="00753954">
      <w:pPr>
        <w:pStyle w:val="2"/>
        <w:divId w:val="2021008012"/>
        <w:rPr>
          <w:rFonts w:eastAsia="Times New Roman"/>
        </w:rPr>
      </w:pPr>
      <w:r>
        <w:rPr>
          <w:rFonts w:eastAsia="Times New Roman"/>
        </w:rPr>
        <w:t>3.2 Хирургическое лечение</w:t>
      </w:r>
    </w:p>
    <w:p w:rsidR="00753954" w:rsidRDefault="00753954">
      <w:pPr>
        <w:pStyle w:val="afa"/>
        <w:divId w:val="2021008012"/>
        <w:rPr>
          <w:rFonts w:eastAsiaTheme="minorEastAsia"/>
        </w:rPr>
      </w:pPr>
      <w:r>
        <w:t>Не применяется.</w:t>
      </w:r>
    </w:p>
    <w:p w:rsidR="00753954" w:rsidRDefault="00753954">
      <w:pPr>
        <w:pStyle w:val="2"/>
        <w:divId w:val="2021008012"/>
        <w:rPr>
          <w:rFonts w:eastAsia="Times New Roman"/>
        </w:rPr>
      </w:pPr>
      <w:r>
        <w:rPr>
          <w:rFonts w:eastAsia="Times New Roman"/>
        </w:rPr>
        <w:t>3.3 Иное лечение</w:t>
      </w:r>
    </w:p>
    <w:p w:rsidR="00753954" w:rsidRDefault="00753954">
      <w:pPr>
        <w:pStyle w:val="afa"/>
        <w:divId w:val="2021008012"/>
        <w:rPr>
          <w:rFonts w:eastAsiaTheme="minorEastAsia"/>
        </w:rPr>
      </w:pPr>
      <w:r>
        <w:t>Не применяется.</w:t>
      </w:r>
    </w:p>
    <w:p w:rsidR="00753954" w:rsidRDefault="00450B64">
      <w:bookmarkStart w:id="7" w:name="__RefHeading___doc_4"/>
      <w:r>
        <w:rPr>
          <w:b/>
        </w:rPr>
        <w:t>4. Реабилитация</w:t>
      </w:r>
      <w:bookmarkEnd w:id="7"/>
    </w:p>
    <w:p w:rsidR="00753954" w:rsidRDefault="00753954">
      <w:pPr>
        <w:pStyle w:val="afa"/>
        <w:divId w:val="738868267"/>
      </w:pPr>
      <w:r>
        <w:t>Не применяется.</w:t>
      </w:r>
    </w:p>
    <w:p w:rsidR="00753954" w:rsidRDefault="00450B64">
      <w:bookmarkStart w:id="8" w:name="__RefHeading___doc_5"/>
      <w:r>
        <w:rPr>
          <w:b/>
        </w:rPr>
        <w:t>5. Профилактика</w:t>
      </w:r>
      <w:bookmarkEnd w:id="8"/>
    </w:p>
    <w:p w:rsidR="00753954" w:rsidRDefault="00753954">
      <w:pPr>
        <w:pStyle w:val="afa"/>
        <w:divId w:val="410128229"/>
      </w:pPr>
      <w:r>
        <w:t>Профилактика:</w:t>
      </w:r>
    </w:p>
    <w:p w:rsidR="00753954" w:rsidRDefault="00753954" w:rsidP="00450B64">
      <w:pPr>
        <w:numPr>
          <w:ilvl w:val="0"/>
          <w:numId w:val="16"/>
        </w:numPr>
        <w:spacing w:before="100" w:beforeAutospacing="1" w:after="100" w:afterAutospacing="1" w:line="240" w:lineRule="auto"/>
        <w:divId w:val="410128229"/>
        <w:rPr>
          <w:rFonts w:eastAsia="Times New Roman"/>
        </w:rPr>
      </w:pPr>
      <w:r>
        <w:rPr>
          <w:rFonts w:eastAsia="Times New Roman"/>
        </w:rPr>
        <w:t>исключение случайных половых контактов;</w:t>
      </w:r>
    </w:p>
    <w:p w:rsidR="00753954" w:rsidRDefault="00753954" w:rsidP="00450B64">
      <w:pPr>
        <w:numPr>
          <w:ilvl w:val="0"/>
          <w:numId w:val="16"/>
        </w:numPr>
        <w:spacing w:before="100" w:beforeAutospacing="1" w:after="100" w:afterAutospacing="1" w:line="240" w:lineRule="auto"/>
        <w:divId w:val="410128229"/>
        <w:rPr>
          <w:rFonts w:eastAsia="Times New Roman"/>
        </w:rPr>
      </w:pPr>
      <w:r>
        <w:rPr>
          <w:rFonts w:eastAsia="Times New Roman"/>
        </w:rPr>
        <w:t>использование средств барьерной контрацепции;</w:t>
      </w:r>
    </w:p>
    <w:p w:rsidR="00753954" w:rsidRDefault="00753954" w:rsidP="00450B64">
      <w:pPr>
        <w:numPr>
          <w:ilvl w:val="0"/>
          <w:numId w:val="16"/>
        </w:numPr>
        <w:spacing w:before="100" w:beforeAutospacing="1" w:after="100" w:afterAutospacing="1" w:line="240" w:lineRule="auto"/>
        <w:divId w:val="410128229"/>
        <w:rPr>
          <w:rFonts w:eastAsia="Times New Roman"/>
        </w:rPr>
      </w:pPr>
      <w:r>
        <w:rPr>
          <w:rFonts w:eastAsia="Times New Roman"/>
        </w:rPr>
        <w:t>обследование и лечение половых партнеров.</w:t>
      </w:r>
    </w:p>
    <w:p w:rsidR="00753954" w:rsidRDefault="00753954">
      <w:pPr>
        <w:pStyle w:val="afa"/>
        <w:divId w:val="410128229"/>
        <w:rPr>
          <w:rFonts w:eastAsiaTheme="minorEastAsia"/>
        </w:rPr>
      </w:pPr>
      <w:r>
        <w:t>Профилактика инфицирования генитальным герпесом здорового полового партнера:</w:t>
      </w:r>
    </w:p>
    <w:p w:rsidR="00753954" w:rsidRDefault="00753954" w:rsidP="00450B64">
      <w:pPr>
        <w:pStyle w:val="afa"/>
        <w:numPr>
          <w:ilvl w:val="0"/>
          <w:numId w:val="17"/>
        </w:numPr>
        <w:spacing w:before="100" w:after="100" w:line="240" w:lineRule="auto"/>
        <w:divId w:val="410128229"/>
      </w:pPr>
      <w:r>
        <w:t>валацикловир 500 мг перорально 1 раз в сутки в течение 12 месяцев при регулярных половых контактах [36]. </w:t>
      </w:r>
    </w:p>
    <w:p w:rsidR="00753954" w:rsidRDefault="00753954">
      <w:pPr>
        <w:pStyle w:val="afa"/>
        <w:ind w:left="720"/>
        <w:divId w:val="410128229"/>
      </w:pPr>
      <w:r>
        <w:rPr>
          <w:rStyle w:val="aff8"/>
        </w:rPr>
        <w:t>Уровень убедительности рекомендаций</w:t>
      </w:r>
      <w:r>
        <w:rPr>
          <w:rStyle w:val="aff8"/>
        </w:rPr>
        <w:softHyphen/>
      </w:r>
      <w:r>
        <w:rPr>
          <w:rStyle w:val="aff8"/>
        </w:rPr>
        <w:softHyphen/>
        <w:t xml:space="preserve"> - А </w:t>
      </w:r>
      <w:r>
        <w:t>(уровень достоверности доказательств –1-)  </w:t>
      </w:r>
    </w:p>
    <w:p w:rsidR="00753954" w:rsidRDefault="00450B64">
      <w:bookmarkStart w:id="9" w:name="__RefHeading___doc_6"/>
      <w:r>
        <w:rPr>
          <w:b/>
        </w:rPr>
        <w:t xml:space="preserve">6. </w:t>
      </w:r>
      <w:r>
        <w:rPr>
          <w:b/>
        </w:rPr>
        <w:t>Дополнительная информация, влияющая на течение и исход заболевания</w:t>
      </w:r>
      <w:bookmarkEnd w:id="9"/>
    </w:p>
    <w:p w:rsidR="00753954" w:rsidRDefault="00753954">
      <w:pPr>
        <w:divId w:val="1211696943"/>
        <w:rPr>
          <w:rFonts w:eastAsia="Times New Roman"/>
        </w:rPr>
      </w:pPr>
    </w:p>
    <w:p w:rsidR="00753954" w:rsidRDefault="00450B64">
      <w:bookmarkStart w:id="10" w:name="__RefHeading___doc_criteria"/>
      <w:r>
        <w:rPr>
          <w:b/>
        </w:rPr>
        <w:t>Критерии оценки качества медицинской помощи</w:t>
      </w:r>
      <w:bookmarkEnd w:id="10"/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4260"/>
        <w:gridCol w:w="2340"/>
        <w:gridCol w:w="2340"/>
      </w:tblGrid>
      <w:tr w:rsidR="00753954">
        <w:trPr>
          <w:divId w:val="193069527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rPr>
                <w:rStyle w:val="aff8"/>
              </w:rPr>
              <w:t>№№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rPr>
                <w:rStyle w:val="aff8"/>
              </w:rPr>
              <w:t>Критерии качества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rPr>
                <w:rStyle w:val="aff8"/>
              </w:rPr>
              <w:t>Уровень достоверности доказательств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rPr>
                <w:rStyle w:val="aff8"/>
              </w:rPr>
              <w:t>Уровень убедительности доказательств</w:t>
            </w:r>
          </w:p>
        </w:tc>
      </w:tr>
      <w:tr w:rsidR="00753954">
        <w:trPr>
          <w:divId w:val="193069527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Проведена терапия ацикловиром или валацикловиром или фамцикловиром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1++, 1+, 1-, 2++, 2+, 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A, B, C</w:t>
            </w:r>
          </w:p>
        </w:tc>
      </w:tr>
      <w:tr w:rsidR="00753954">
        <w:trPr>
          <w:divId w:val="193069527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lastRenderedPageBreak/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Достигнуто исчезновение клинических симптомов заболевания (клиническое выздоровление)   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D</w:t>
            </w:r>
          </w:p>
        </w:tc>
      </w:tr>
      <w:tr w:rsidR="00753954">
        <w:trPr>
          <w:divId w:val="193069527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Достигнуто уменьшение частоты и/или продолжительности рецидивов генитального герпеса при назначении длительной супрессивной терапии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D</w:t>
            </w:r>
          </w:p>
        </w:tc>
      </w:tr>
    </w:tbl>
    <w:p w:rsidR="00753954" w:rsidRDefault="00753954">
      <w:pPr>
        <w:divId w:val="1930695276"/>
        <w:rPr>
          <w:rFonts w:eastAsia="Times New Roman"/>
        </w:rPr>
      </w:pPr>
    </w:p>
    <w:p w:rsidR="00753954" w:rsidRDefault="00450B64">
      <w:bookmarkStart w:id="11" w:name="__RefHeading___doc_bible"/>
      <w:r>
        <w:rPr>
          <w:b/>
        </w:rPr>
        <w:t>Список литературы</w:t>
      </w:r>
      <w:bookmarkEnd w:id="11"/>
    </w:p>
    <w:p w:rsidR="00753954" w:rsidRPr="00E33142" w:rsidRDefault="00753954">
      <w:pPr>
        <w:divId w:val="1656104598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1. Geretti AM and Brown DW. National survey of diagnostic  services for genital herpes. Sex Transm Infect 2005; 81:  316–317.</w:t>
      </w:r>
    </w:p>
    <w:p w:rsidR="00753954" w:rsidRPr="00E33142" w:rsidRDefault="00753954">
      <w:pPr>
        <w:divId w:val="1320885457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2. Scoular A. Using the evidence base on genital herpes: optimising the use of diagnostic tests and information  provision. Sex Transm Infect 2002; 78: 160–165.</w:t>
      </w:r>
    </w:p>
    <w:p w:rsidR="00753954" w:rsidRPr="00E33142" w:rsidRDefault="00753954">
      <w:pPr>
        <w:divId w:val="427895126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 xml:space="preserve">3. Wald A, Huang M-L, Carrell D, et al. </w:t>
      </w:r>
      <w:r>
        <w:rPr>
          <w:rFonts w:eastAsia="Times New Roman"/>
        </w:rPr>
        <w:t xml:space="preserve">Polymerase chain    reaction for detection of herpes simplex virus (HSV)  DNA on mucosal surfaces: comparison with HSV isolation   in cell culture. </w:t>
      </w:r>
      <w:r w:rsidRPr="00E33142">
        <w:rPr>
          <w:rFonts w:eastAsia="Times New Roman"/>
          <w:lang w:val="en-US"/>
        </w:rPr>
        <w:t>J Infect Dis 2003; 188: 1345–3151.</w:t>
      </w:r>
    </w:p>
    <w:p w:rsidR="00753954" w:rsidRPr="00E33142" w:rsidRDefault="00753954">
      <w:pPr>
        <w:divId w:val="1482310042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 xml:space="preserve">4. Wald A, Ericsson M, Krantz E, et al. </w:t>
      </w:r>
      <w:r>
        <w:rPr>
          <w:rFonts w:eastAsia="Times New Roman"/>
        </w:rPr>
        <w:t xml:space="preserve">Oral shedding of  herpes simplex virus type 2. </w:t>
      </w:r>
      <w:r w:rsidRPr="00E33142">
        <w:rPr>
          <w:rFonts w:eastAsia="Times New Roman"/>
          <w:lang w:val="en-US"/>
        </w:rPr>
        <w:t>Sex Transm Infect 2004; 80: 272–276.</w:t>
      </w:r>
    </w:p>
    <w:p w:rsidR="00753954" w:rsidRPr="00E33142" w:rsidRDefault="00753954">
      <w:pPr>
        <w:divId w:val="1521238410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 xml:space="preserve">5. Ramaswamy M, McDonald C, Smith M, et al. </w:t>
      </w:r>
      <w:r>
        <w:rPr>
          <w:rFonts w:eastAsia="Times New Roman"/>
        </w:rPr>
        <w:t xml:space="preserve">Diagnosis   of genital herpes by real time PCR in routine clinical  practice. </w:t>
      </w:r>
      <w:r w:rsidRPr="00E33142">
        <w:rPr>
          <w:rFonts w:eastAsia="Times New Roman"/>
          <w:lang w:val="en-US"/>
        </w:rPr>
        <w:t>Sex Transm Infect 2004; 80: 406–410.</w:t>
      </w:r>
    </w:p>
    <w:p w:rsidR="00753954" w:rsidRPr="00E33142" w:rsidRDefault="00753954">
      <w:pPr>
        <w:divId w:val="1861503445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6. Ashley RL. Performance and use of HSV type-specific    serology test kits. Herpes 2002; 9: 38–45.</w:t>
      </w:r>
    </w:p>
    <w:p w:rsidR="00753954" w:rsidRPr="00E33142" w:rsidRDefault="00753954">
      <w:pPr>
        <w:divId w:val="157893276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7. Nilsen AE, AasenT, Halsos AM, et al. Efficacy of oral aciclovir in the treatment of initial and recurrent genital herpes. Lancet 1982; 571-3.</w:t>
      </w:r>
    </w:p>
    <w:p w:rsidR="00753954" w:rsidRPr="00E33142" w:rsidRDefault="00753954">
      <w:pPr>
        <w:divId w:val="1797487845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8. Spruance SL, Tyring TK, DeGregorio B, Miller C, Beutner K and the Valaciclovir study group. A large-scale, placebo controlled, dose ranging trial of peroral valaciclovir for episodic treatment of recurrent herpes genitalis. Arch Intern Med 1996; 156: 1729-35.</w:t>
      </w:r>
    </w:p>
    <w:p w:rsidR="00753954" w:rsidRPr="00E33142" w:rsidRDefault="00753954">
      <w:pPr>
        <w:divId w:val="27462372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9. Sacks SL, Aoki FY, Diaz-Mitoma F, Sellors J, Shafran SD, for the Canadian Famciclovir Study. Patient-initiated, twice daily, oral famciclovir for early recurrent genjnital herpes: a randomized, double-blind multicenter trial. JAMA 1996; 276: 44-9.</w:t>
      </w:r>
    </w:p>
    <w:p w:rsidR="00753954" w:rsidRPr="00E33142" w:rsidRDefault="00753954">
      <w:pPr>
        <w:divId w:val="1679429089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10. Corey L, Benedetti J, Critchlow C, et al. Treatment of primary first-episode genital herpes simplex virus infections with aciclovir: results of topical, intravenous and oral therapy. J Antimicrob Chemother 1983; 12(suppl B): 79-88.</w:t>
      </w:r>
    </w:p>
    <w:p w:rsidR="00753954" w:rsidRPr="00E33142" w:rsidRDefault="00753954">
      <w:pPr>
        <w:divId w:val="1855225062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 xml:space="preserve">11. Fife KH, Barbarash RA, Rudolph T, DeGregorio B, Roth R. Valaciclovir versus aciclovir in the treatment of first-episode genital herpes infection. Results of an international multicenter, </w:t>
      </w:r>
      <w:r w:rsidRPr="00E33142">
        <w:rPr>
          <w:rFonts w:eastAsia="Times New Roman"/>
          <w:lang w:val="en-US"/>
        </w:rPr>
        <w:lastRenderedPageBreak/>
        <w:t>double-blind, randomized clinical trial. The Valaciclovir International Herpes Simplex Virus Study Group. Sex Transm Dis1997; 24: 481-6.</w:t>
      </w:r>
    </w:p>
    <w:p w:rsidR="00753954" w:rsidRPr="00E33142" w:rsidRDefault="00753954">
      <w:pPr>
        <w:divId w:val="634290129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12. Mertz GJ. Management of genital herpes.  Adv Exp Med Biol. 1996;394: 1-10. </w:t>
      </w:r>
    </w:p>
    <w:p w:rsidR="00753954" w:rsidRPr="00E33142" w:rsidRDefault="00753954">
      <w:pPr>
        <w:divId w:val="694117958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 xml:space="preserve">13. Wald A, Carrell D, Remington M, et al. </w:t>
      </w:r>
      <w:r>
        <w:rPr>
          <w:rFonts w:eastAsia="Times New Roman"/>
        </w:rPr>
        <w:t xml:space="preserve">Two-day regiment of acyclovir for treatment of recurrent genital herpes simplex virus type 2 infection. </w:t>
      </w:r>
      <w:r w:rsidRPr="00E33142">
        <w:rPr>
          <w:rFonts w:eastAsia="Times New Roman"/>
          <w:lang w:val="en-US"/>
        </w:rPr>
        <w:t>Clin Infect Dis 2002; 34(7): 944-8.</w:t>
      </w:r>
    </w:p>
    <w:p w:rsidR="00753954" w:rsidRPr="00E33142" w:rsidRDefault="00753954">
      <w:pPr>
        <w:divId w:val="752555174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14. Aoki FY, Tyring S, Diaz-Mitoma F, Gross G, Gao J, Hamed K. Single-day, patient-initiated famciclovir therapy for recurrent genital herpes: a randomized, double-blind, placebocontrolled trial. Clin Infect Dis 2006; 42: 8-13.</w:t>
      </w:r>
    </w:p>
    <w:p w:rsidR="00753954" w:rsidRPr="00E33142" w:rsidRDefault="00753954">
      <w:pPr>
        <w:divId w:val="697506188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15. Abudalu M, Tyring S, Koltun W, Bodsworth N, Hamed K. Single-day. patient-initiated famciclovir therapy versus 3-day valaciclovir regimen for recurrent genital herpes: a randomized, double-blind, comparative trial. Clin Infect Dis 2008; 47: 651-8.</w:t>
      </w:r>
    </w:p>
    <w:p w:rsidR="00753954" w:rsidRPr="00E33142" w:rsidRDefault="00753954">
      <w:pPr>
        <w:divId w:val="284698409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16. Leone PA, Trottier S, Miller JM. Valaciclovir for episodic treatment of genital herpes: a shorter 3-day treatment course compared with 5-day treatment. Clin Infect Dis 2002; 34: 958-62.</w:t>
      </w:r>
    </w:p>
    <w:p w:rsidR="00753954" w:rsidRPr="00E33142" w:rsidRDefault="00753954">
      <w:pPr>
        <w:divId w:val="1962952452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17. Strand A, Patel R, Wulf HC, Coates KM and The International Valaciclovir Study Group. Aborted genital herpes simplex virus lesions: findings from a randomised controlled trial with valaciclovir. Sex Transm Infect 2002; 78: 435-9.</w:t>
      </w:r>
    </w:p>
    <w:p w:rsidR="00753954" w:rsidRPr="00E33142" w:rsidRDefault="00753954">
      <w:pPr>
        <w:divId w:val="2038002114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18. Bodsworth N, Bloch M, McNulty A, 2-day versus 5-day famciclovir as treatment of recurrences of genital herpes: results of the FaST study, Sexual Health 2008; 5(3): 219-225.</w:t>
      </w:r>
    </w:p>
    <w:p w:rsidR="00753954" w:rsidRDefault="00753954">
      <w:pPr>
        <w:divId w:val="1098676846"/>
        <w:rPr>
          <w:rFonts w:eastAsia="Times New Roman"/>
        </w:rPr>
      </w:pPr>
      <w:r>
        <w:rPr>
          <w:rFonts w:eastAsia="Times New Roman"/>
        </w:rPr>
        <w:t>19. Рахматулина М.Р. Эпизодическая терапия рецидивирующей герпетической инфекции: результаты проспективного постмаркетингового исследования. Вестник дерматологии и венерологии,2009; №5: С. 120-124.</w:t>
      </w:r>
    </w:p>
    <w:p w:rsidR="00753954" w:rsidRPr="00E33142" w:rsidRDefault="00753954">
      <w:pPr>
        <w:divId w:val="2132363183"/>
        <w:rPr>
          <w:rFonts w:eastAsia="Times New Roman"/>
          <w:lang w:val="en-US"/>
        </w:rPr>
      </w:pPr>
      <w:r>
        <w:rPr>
          <w:rFonts w:eastAsia="Times New Roman"/>
        </w:rPr>
        <w:t xml:space="preserve">20. Lebrun-Vignes B et al. </w:t>
      </w:r>
      <w:r w:rsidRPr="00E33142">
        <w:rPr>
          <w:rFonts w:eastAsia="Times New Roman"/>
          <w:lang w:val="en-US"/>
        </w:rPr>
        <w:t>A meta-analysis to assess the efficacy of oral antiviral treatment to prevent genital herpes outbreaks.JAm Acad Dermatol 2007; 57: 238-46.</w:t>
      </w:r>
    </w:p>
    <w:p w:rsidR="00753954" w:rsidRPr="00E33142" w:rsidRDefault="00753954">
      <w:pPr>
        <w:divId w:val="277567818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 xml:space="preserve">21. Sheffield JS, Hollier LM, Hill JB, Stuart GS, Wendel GD Jr. </w:t>
      </w:r>
      <w:r>
        <w:rPr>
          <w:rFonts w:eastAsia="Times New Roman"/>
        </w:rPr>
        <w:t xml:space="preserve">Acyclovir prophylaxis to prevent herpes simplex virus recurrence at delivery: a systematic review. </w:t>
      </w:r>
      <w:r w:rsidRPr="00E33142">
        <w:rPr>
          <w:rFonts w:eastAsia="Times New Roman"/>
          <w:lang w:val="en-US"/>
        </w:rPr>
        <w:t>Obstet Gynecol 2003;102: 1396–403.</w:t>
      </w:r>
    </w:p>
    <w:p w:rsidR="00753954" w:rsidRPr="00E33142" w:rsidRDefault="00753954">
      <w:pPr>
        <w:divId w:val="130903417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22. Watts DH, Brown ZA, Money D, Selke S, Huang ML, Sacks SL, et al. A double-blind, randomized, placebo-controlled trial of acyclovir in late pregnancy for the reduction of herpes simplex virus shedding and cesarean delivery. Am J Obstet Gynecol 2003; 188: 836–43.</w:t>
      </w:r>
    </w:p>
    <w:p w:rsidR="00753954" w:rsidRPr="00E33142" w:rsidRDefault="00753954">
      <w:pPr>
        <w:divId w:val="1455366529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 xml:space="preserve">23. Scott LL, Hollier LM, McIntire D, Sanchez PJ, Jackson GL, Wendel GD Jr. </w:t>
      </w:r>
      <w:r>
        <w:rPr>
          <w:rFonts w:eastAsia="Times New Roman"/>
        </w:rPr>
        <w:t xml:space="preserve">Acyclovir suppression to prevent recurrent genital herpes at delivery. </w:t>
      </w:r>
      <w:r w:rsidRPr="00E33142">
        <w:rPr>
          <w:rFonts w:eastAsia="Times New Roman"/>
          <w:lang w:val="en-US"/>
        </w:rPr>
        <w:t>Infect Dis Obstet Gynecol 2002; 10: 71–7.</w:t>
      </w:r>
    </w:p>
    <w:p w:rsidR="00753954" w:rsidRDefault="00753954">
      <w:pPr>
        <w:divId w:val="1539202171"/>
        <w:rPr>
          <w:rFonts w:eastAsia="Times New Roman"/>
        </w:rPr>
      </w:pPr>
      <w:r w:rsidRPr="00E33142">
        <w:rPr>
          <w:rFonts w:eastAsia="Times New Roman"/>
          <w:lang w:val="en-US"/>
        </w:rPr>
        <w:t xml:space="preserve">24. Brocklehurst P, Kinghorn G, Carney O, et al. A randomised placebo-controlled trial of suppressive acyclovir in late pregnancy in women with recurrent genital herpes infection. </w:t>
      </w:r>
      <w:r>
        <w:rPr>
          <w:rFonts w:eastAsia="Times New Roman"/>
        </w:rPr>
        <w:t>Br J Obstet Gynaecol. 1998; 105(3): 275–280</w:t>
      </w:r>
    </w:p>
    <w:p w:rsidR="00753954" w:rsidRDefault="00753954">
      <w:pPr>
        <w:divId w:val="233513070"/>
        <w:rPr>
          <w:rFonts w:eastAsia="Times New Roman"/>
        </w:rPr>
      </w:pPr>
      <w:r w:rsidRPr="00E33142">
        <w:rPr>
          <w:rFonts w:eastAsia="Times New Roman"/>
          <w:lang w:val="en-US"/>
        </w:rPr>
        <w:lastRenderedPageBreak/>
        <w:t xml:space="preserve">25. Scott LL, Sanchez PJ, Jackson GL, Zeray F, Wendel GD Jr. </w:t>
      </w:r>
      <w:r>
        <w:rPr>
          <w:rFonts w:eastAsia="Times New Roman"/>
        </w:rPr>
        <w:t>Acyclovir suppression to prevent cesarean delivery after first-episode genital herpes. Obstet Gynecol. 1996; 87(1): 69–73.</w:t>
      </w:r>
    </w:p>
    <w:p w:rsidR="00753954" w:rsidRPr="00E33142" w:rsidRDefault="00753954">
      <w:pPr>
        <w:divId w:val="862212875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 xml:space="preserve">26. Braig S, Luton D, Sibony O, et al. </w:t>
      </w:r>
      <w:r>
        <w:rPr>
          <w:rFonts w:eastAsia="Times New Roman"/>
        </w:rPr>
        <w:t xml:space="preserve">Acyclovir prophylaxis in late pregnancy prevents recurrent genital herpes and viral shedding. </w:t>
      </w:r>
      <w:r w:rsidRPr="00E33142">
        <w:rPr>
          <w:rFonts w:eastAsia="Times New Roman"/>
          <w:lang w:val="en-US"/>
        </w:rPr>
        <w:t>Eur J Obstet Gynecol Reprod Biol. 2001; 96(1):55–58.</w:t>
      </w:r>
    </w:p>
    <w:p w:rsidR="00753954" w:rsidRDefault="00753954">
      <w:pPr>
        <w:divId w:val="1659386754"/>
        <w:rPr>
          <w:rFonts w:eastAsia="Times New Roman"/>
        </w:rPr>
      </w:pPr>
      <w:r w:rsidRPr="00E33142">
        <w:rPr>
          <w:rFonts w:eastAsia="Times New Roman"/>
          <w:lang w:val="en-US"/>
        </w:rPr>
        <w:t xml:space="preserve">27. Watts DH, Brown ZA, Money D, et al. A doubleblind, randomized, placebo-controlled trial of acyclovir in late pregnancy for the reduction of Herpes simplex virus shedding and cesarean delivery. </w:t>
      </w:r>
      <w:r>
        <w:rPr>
          <w:rFonts w:eastAsia="Times New Roman"/>
        </w:rPr>
        <w:t>Am J Obstet Gynecol. 2003; 188(3): 836–843.</w:t>
      </w:r>
    </w:p>
    <w:p w:rsidR="00753954" w:rsidRDefault="00753954">
      <w:pPr>
        <w:divId w:val="359085825"/>
        <w:rPr>
          <w:rFonts w:eastAsia="Times New Roman"/>
        </w:rPr>
      </w:pPr>
      <w:r w:rsidRPr="00E33142">
        <w:rPr>
          <w:rFonts w:eastAsia="Times New Roman"/>
          <w:lang w:val="en-US"/>
        </w:rPr>
        <w:t xml:space="preserve">28. Brocklehurst P, Kinghorn G, Carney O, et al. A randomised placebo-controlled trial of suppressive acyclovir in late pregnancy in women with recurrent genital herpes infection. </w:t>
      </w:r>
      <w:r>
        <w:rPr>
          <w:rFonts w:eastAsia="Times New Roman"/>
        </w:rPr>
        <w:t>Br J Obstet Gynaecol. 1998; 105(3): 275–280.</w:t>
      </w:r>
    </w:p>
    <w:p w:rsidR="00753954" w:rsidRPr="00E33142" w:rsidRDefault="00753954">
      <w:pPr>
        <w:divId w:val="1213157859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29. National Institute for Health and Clinical Excellence. Intrapartum care: Care of healthy women  and their babies during childbirth. NICE clinical guideline 55. Manchester: NICE; 2007.</w:t>
      </w:r>
    </w:p>
    <w:p w:rsidR="00753954" w:rsidRPr="00E33142" w:rsidRDefault="00753954">
      <w:pPr>
        <w:divId w:val="407193858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30. Hollier LM, Wendel GD. Third trimester antiviral prophylaxis for preventing maternal genital herpes simplx virus (HSV) recurrences and neonatal infection. Cochrane Database of Systematic Reviews 2008, Issue 1.</w:t>
      </w:r>
    </w:p>
    <w:p w:rsidR="00753954" w:rsidRPr="00E33142" w:rsidRDefault="00753954">
      <w:pPr>
        <w:divId w:val="2036078550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31. A. M. Kesson, “Management of neonatal herpes simplex virus infection,” Paediatric Drugs, 2001; vol. 3, no. 2: pp. 81–90.</w:t>
      </w:r>
    </w:p>
    <w:p w:rsidR="00753954" w:rsidRDefault="00753954">
      <w:pPr>
        <w:divId w:val="2118089049"/>
        <w:rPr>
          <w:rFonts w:eastAsia="Times New Roman"/>
        </w:rPr>
      </w:pPr>
      <w:r w:rsidRPr="00E33142">
        <w:rPr>
          <w:rFonts w:eastAsia="Times New Roman"/>
          <w:lang w:val="en-US"/>
        </w:rPr>
        <w:t xml:space="preserve">32. Cantin E, Tanamachi B., Openshaw H. Role for gamma interferon in control of herpes simplex virus type 1 reactivation. </w:t>
      </w:r>
      <w:r>
        <w:rPr>
          <w:rFonts w:eastAsia="Times New Roman"/>
        </w:rPr>
        <w:t>J. Virol. 1999; 73: 3418-3423.</w:t>
      </w:r>
    </w:p>
    <w:p w:rsidR="00753954" w:rsidRDefault="00753954">
      <w:pPr>
        <w:divId w:val="1828550063"/>
        <w:rPr>
          <w:rFonts w:eastAsia="Times New Roman"/>
        </w:rPr>
      </w:pPr>
      <w:r w:rsidRPr="00E33142">
        <w:rPr>
          <w:rFonts w:eastAsia="Times New Roman"/>
          <w:lang w:val="en-US"/>
        </w:rPr>
        <w:t xml:space="preserve">33. Sainz B. Jr., Halford W.P. Alpha/Beta interferon and gamma interferon synergize to inhibit the replication of herpes simplex virus type 1. </w:t>
      </w:r>
      <w:r>
        <w:rPr>
          <w:rFonts w:eastAsia="Times New Roman"/>
        </w:rPr>
        <w:t>J. Virol., 2002; 76(22): 11541–11550.</w:t>
      </w:r>
    </w:p>
    <w:p w:rsidR="00753954" w:rsidRPr="00E33142" w:rsidRDefault="00753954">
      <w:pPr>
        <w:divId w:val="1489974151"/>
        <w:rPr>
          <w:rFonts w:eastAsia="Times New Roman"/>
          <w:lang w:val="en-US"/>
        </w:rPr>
      </w:pPr>
      <w:r>
        <w:rPr>
          <w:rFonts w:eastAsia="Times New Roman"/>
        </w:rPr>
        <w:t>34. Рахматулина М.Р. Интерферон-гамма в терапии генитального герпеса. Инфекционные</w:t>
      </w:r>
      <w:r w:rsidRPr="00E33142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болезни</w:t>
      </w:r>
      <w:r w:rsidRPr="00E33142">
        <w:rPr>
          <w:rFonts w:eastAsia="Times New Roman"/>
          <w:lang w:val="en-US"/>
        </w:rPr>
        <w:t xml:space="preserve">, 2007; № 3: </w:t>
      </w:r>
      <w:r>
        <w:rPr>
          <w:rFonts w:eastAsia="Times New Roman"/>
        </w:rPr>
        <w:t>С</w:t>
      </w:r>
      <w:r w:rsidRPr="00E33142">
        <w:rPr>
          <w:rFonts w:eastAsia="Times New Roman"/>
          <w:lang w:val="en-US"/>
        </w:rPr>
        <w:t>. 76-79.</w:t>
      </w:r>
    </w:p>
    <w:p w:rsidR="00753954" w:rsidRPr="00E33142" w:rsidRDefault="00753954">
      <w:pPr>
        <w:divId w:val="1690334163"/>
        <w:rPr>
          <w:rFonts w:eastAsia="Times New Roman"/>
          <w:lang w:val="en-US"/>
        </w:rPr>
      </w:pPr>
      <w:r w:rsidRPr="00E33142">
        <w:rPr>
          <w:rFonts w:eastAsia="Times New Roman"/>
          <w:lang w:val="en-US"/>
        </w:rPr>
        <w:t>35. Sundmacher R., Mattes A., Neumann-Haefelin D. et al. The potency of interferon-alpha 2 and interferon-gamma in a combination therapy of herpes keratitis. A controlled clinical study. Curr. Eye Res., 1987; 6(1): 273–276.</w:t>
      </w:r>
    </w:p>
    <w:p w:rsidR="00753954" w:rsidRDefault="00753954">
      <w:pPr>
        <w:divId w:val="302389664"/>
        <w:rPr>
          <w:rFonts w:eastAsia="Times New Roman"/>
        </w:rPr>
      </w:pPr>
      <w:r w:rsidRPr="00E33142">
        <w:rPr>
          <w:rFonts w:eastAsia="Times New Roman"/>
          <w:lang w:val="en-US"/>
        </w:rPr>
        <w:t xml:space="preserve">36. Corey L, Wald A, Patel R et al. </w:t>
      </w:r>
      <w:r>
        <w:rPr>
          <w:rFonts w:eastAsia="Times New Roman"/>
        </w:rPr>
        <w:t>Once-daily valaciclovir to reduce the risk of transmission of genital herpes. N Engl J Med 2004; 350: 11-20.</w:t>
      </w:r>
    </w:p>
    <w:p w:rsidR="00753954" w:rsidRDefault="00753954">
      <w:pPr>
        <w:divId w:val="242305296"/>
        <w:rPr>
          <w:rFonts w:eastAsia="Times New Roman"/>
        </w:rPr>
      </w:pPr>
      <w:r>
        <w:rPr>
          <w:rFonts w:eastAsia="Times New Roman"/>
        </w:rPr>
        <w:t>37. Клинические рекомендации РОДВК по ведению больных инфекциями, передаваемыми половым путем, и урогенитальными инфекциями.: Издательский дом  Деловой Экспресс,  2012: 1-112.</w:t>
      </w:r>
    </w:p>
    <w:p w:rsidR="00753954" w:rsidRDefault="00450B64">
      <w:bookmarkStart w:id="12" w:name="__RefHeading___doc_a1"/>
      <w:r>
        <w:rPr>
          <w:b/>
        </w:rPr>
        <w:t>Приложение А1. Состав рабочей группы</w:t>
      </w:r>
      <w:bookmarkEnd w:id="12"/>
    </w:p>
    <w:p w:rsidR="00753954" w:rsidRDefault="00753954" w:rsidP="00450B64">
      <w:pPr>
        <w:numPr>
          <w:ilvl w:val="0"/>
          <w:numId w:val="18"/>
        </w:numPr>
        <w:spacing w:before="100" w:beforeAutospacing="1" w:after="100" w:afterAutospacing="1" w:line="240" w:lineRule="auto"/>
        <w:divId w:val="2002537274"/>
        <w:rPr>
          <w:rFonts w:eastAsia="Times New Roman"/>
        </w:rPr>
      </w:pPr>
      <w:r>
        <w:rPr>
          <w:rFonts w:eastAsia="Times New Roman"/>
        </w:rPr>
        <w:t>Кубанова Анна Алексеевна – академик РАН,  доктор медицинских наук, профессор, Президент Российского общества дерматовенерологов и косметологов.</w:t>
      </w:r>
    </w:p>
    <w:p w:rsidR="00753954" w:rsidRDefault="00753954" w:rsidP="00450B64">
      <w:pPr>
        <w:numPr>
          <w:ilvl w:val="0"/>
          <w:numId w:val="18"/>
        </w:numPr>
        <w:spacing w:before="100" w:beforeAutospacing="1" w:after="100" w:afterAutospacing="1" w:line="240" w:lineRule="auto"/>
        <w:divId w:val="2002537274"/>
        <w:rPr>
          <w:rFonts w:eastAsia="Times New Roman"/>
        </w:rPr>
      </w:pPr>
      <w:r>
        <w:rPr>
          <w:rFonts w:eastAsia="Times New Roman"/>
        </w:rPr>
        <w:lastRenderedPageBreak/>
        <w:t>Кубанов Алексей Алексеевич – член-корреспондент РАН, доктор медицинских наук, профессор, член Российского общества дерматовенерологов и косметологов.</w:t>
      </w:r>
    </w:p>
    <w:p w:rsidR="00753954" w:rsidRDefault="00753954" w:rsidP="00450B64">
      <w:pPr>
        <w:numPr>
          <w:ilvl w:val="0"/>
          <w:numId w:val="18"/>
        </w:numPr>
        <w:spacing w:before="100" w:beforeAutospacing="1" w:after="100" w:afterAutospacing="1" w:line="240" w:lineRule="auto"/>
        <w:divId w:val="2002537274"/>
        <w:rPr>
          <w:rFonts w:eastAsia="Times New Roman"/>
        </w:rPr>
      </w:pPr>
      <w:r>
        <w:rPr>
          <w:rFonts w:eastAsia="Times New Roman"/>
        </w:rPr>
        <w:t>Рахматулина Маргарита Рафиковна – доктор медицинских наук, профессор, член Российского общества дерматовенерологов и косметологов.</w:t>
      </w:r>
    </w:p>
    <w:p w:rsidR="00753954" w:rsidRDefault="00753954" w:rsidP="00450B64">
      <w:pPr>
        <w:numPr>
          <w:ilvl w:val="0"/>
          <w:numId w:val="18"/>
        </w:numPr>
        <w:spacing w:before="100" w:beforeAutospacing="1" w:after="100" w:afterAutospacing="1" w:line="240" w:lineRule="auto"/>
        <w:divId w:val="2002537274"/>
        <w:rPr>
          <w:rFonts w:eastAsia="Times New Roman"/>
        </w:rPr>
      </w:pPr>
      <w:r>
        <w:rPr>
          <w:rFonts w:eastAsia="Times New Roman"/>
        </w:rPr>
        <w:t>Соколовский Евгений Владиславович – доктор медицинских наук, профессор, член Российского общества дерматовенерологов и косметологов.</w:t>
      </w:r>
    </w:p>
    <w:p w:rsidR="00753954" w:rsidRDefault="00753954" w:rsidP="00450B64">
      <w:pPr>
        <w:numPr>
          <w:ilvl w:val="0"/>
          <w:numId w:val="18"/>
        </w:numPr>
        <w:spacing w:before="100" w:beforeAutospacing="1" w:after="100" w:afterAutospacing="1" w:line="240" w:lineRule="auto"/>
        <w:divId w:val="2002537274"/>
        <w:rPr>
          <w:rFonts w:eastAsia="Times New Roman"/>
        </w:rPr>
      </w:pPr>
      <w:r>
        <w:rPr>
          <w:rFonts w:eastAsia="Times New Roman"/>
        </w:rPr>
        <w:t>Перламутров Юрий Николаевич – доктор медицинских наук, профессор, член Российского общества дерматовенерологов и косметологов.</w:t>
      </w:r>
    </w:p>
    <w:p w:rsidR="00753954" w:rsidRDefault="00753954" w:rsidP="00450B64">
      <w:pPr>
        <w:numPr>
          <w:ilvl w:val="0"/>
          <w:numId w:val="18"/>
        </w:numPr>
        <w:spacing w:before="100" w:beforeAutospacing="1" w:after="100" w:afterAutospacing="1" w:line="240" w:lineRule="auto"/>
        <w:divId w:val="2002537274"/>
        <w:rPr>
          <w:rFonts w:eastAsia="Times New Roman"/>
        </w:rPr>
      </w:pPr>
      <w:r>
        <w:rPr>
          <w:rFonts w:eastAsia="Times New Roman"/>
        </w:rPr>
        <w:t>Чернова Надежда Ивановна – доктор медицинских наук, член Российского общества дерматовенерологов и косметологов.</w:t>
      </w:r>
    </w:p>
    <w:p w:rsidR="00753954" w:rsidRDefault="00450B64">
      <w:bookmarkStart w:id="13" w:name="__RefHeading___doc_a2"/>
      <w:r>
        <w:rPr>
          <w:b/>
        </w:rPr>
        <w:t>Приложение А2. Методология разработки клинических рекомендаций</w:t>
      </w:r>
      <w:bookmarkEnd w:id="13"/>
    </w:p>
    <w:p w:rsidR="00753954" w:rsidRDefault="00753954">
      <w:pPr>
        <w:pStyle w:val="2"/>
        <w:divId w:val="415983789"/>
        <w:rPr>
          <w:rFonts w:eastAsia="Times New Roman"/>
        </w:rPr>
      </w:pPr>
      <w:r>
        <w:rPr>
          <w:rStyle w:val="aff8"/>
          <w:rFonts w:eastAsia="Times New Roman"/>
          <w:b/>
          <w:bCs w:val="0"/>
        </w:rPr>
        <w:t>Целевая аудитория клинических рекомендаций:</w:t>
      </w:r>
    </w:p>
    <w:p w:rsidR="00753954" w:rsidRDefault="00753954" w:rsidP="00450B64">
      <w:pPr>
        <w:numPr>
          <w:ilvl w:val="0"/>
          <w:numId w:val="19"/>
        </w:numPr>
        <w:spacing w:before="100" w:beforeAutospacing="1" w:after="100" w:afterAutospacing="1" w:line="240" w:lineRule="auto"/>
        <w:divId w:val="415983789"/>
        <w:rPr>
          <w:rFonts w:eastAsia="Times New Roman"/>
        </w:rPr>
      </w:pPr>
      <w:r>
        <w:rPr>
          <w:rFonts w:eastAsia="Times New Roman"/>
        </w:rPr>
        <w:t>Врачи-специалисты: дерматовенерологи, акушеры-гинекологи, урологи, педиатры;</w:t>
      </w:r>
    </w:p>
    <w:p w:rsidR="00753954" w:rsidRDefault="00753954" w:rsidP="00450B64">
      <w:pPr>
        <w:numPr>
          <w:ilvl w:val="0"/>
          <w:numId w:val="19"/>
        </w:numPr>
        <w:spacing w:before="100" w:beforeAutospacing="1" w:after="100" w:afterAutospacing="1" w:line="240" w:lineRule="auto"/>
        <w:divId w:val="415983789"/>
        <w:rPr>
          <w:rFonts w:eastAsia="Times New Roman"/>
        </w:rPr>
      </w:pPr>
      <w:r>
        <w:rPr>
          <w:rFonts w:eastAsia="Times New Roman"/>
        </w:rPr>
        <w:t>Ординаторы и слушатели циклов повышения квалификации по указанным специальностям.</w:t>
      </w:r>
    </w:p>
    <w:p w:rsidR="00753954" w:rsidRDefault="00753954">
      <w:pPr>
        <w:pStyle w:val="2"/>
        <w:divId w:val="415983789"/>
        <w:rPr>
          <w:rFonts w:eastAsia="Times New Roman"/>
        </w:rPr>
      </w:pPr>
      <w:r>
        <w:rPr>
          <w:rStyle w:val="aff8"/>
          <w:rFonts w:eastAsia="Times New Roman"/>
          <w:b/>
          <w:bCs w:val="0"/>
        </w:rPr>
        <w:t>Таблица П1- Уровни достоверности доказательств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9"/>
        <w:gridCol w:w="7382"/>
      </w:tblGrid>
      <w:tr w:rsidR="00753954">
        <w:trPr>
          <w:divId w:val="415983789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rPr>
                <w:rStyle w:val="aff8"/>
              </w:rPr>
              <w:t>Уровни</w:t>
            </w:r>
          </w:p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rPr>
                <w:rStyle w:val="aff8"/>
              </w:rPr>
              <w:t>достоверности доказательств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rPr>
                <w:rStyle w:val="aff8"/>
              </w:rPr>
              <w:t>Описание</w:t>
            </w:r>
          </w:p>
        </w:tc>
      </w:tr>
      <w:tr w:rsidR="00753954">
        <w:trPr>
          <w:divId w:val="415983789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1++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Мета-анализы высокого качества, систематические обзоры рандомизированных контролируемых исследований (РКИ) или РКИ с очень низким риском систематических ошибок</w:t>
            </w:r>
          </w:p>
        </w:tc>
      </w:tr>
      <w:tr w:rsidR="00753954">
        <w:trPr>
          <w:divId w:val="415983789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1+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Качественно проведенные мета-анализы, систематические, или РКИ с низким риском систематических ошибок</w:t>
            </w:r>
          </w:p>
        </w:tc>
      </w:tr>
      <w:tr w:rsidR="00753954">
        <w:trPr>
          <w:divId w:val="415983789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1-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Мета-анализы, систематические, или РКИ с высоким риском систематических ошибок</w:t>
            </w:r>
          </w:p>
        </w:tc>
      </w:tr>
      <w:tr w:rsidR="00753954">
        <w:trPr>
          <w:divId w:val="415983789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2++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Высококачественные систематические обзоры исследований случай-контроль или когортных исследований. Высококачественные обзоры исследований случай-контроль или когортных исследований с очень низким риском эффектов смешивания или систематических ошибок и средней вероятностью причинной взаимосвязи</w:t>
            </w:r>
          </w:p>
        </w:tc>
      </w:tr>
      <w:tr w:rsidR="00753954">
        <w:trPr>
          <w:divId w:val="415983789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2+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Хорошо проведенные исследования случай-контроль или когортные исследования со средним риском эффектов смешивания или систематических ошибок и средней вероятностью причинной взаимосвязи</w:t>
            </w:r>
          </w:p>
        </w:tc>
      </w:tr>
      <w:tr w:rsidR="00753954">
        <w:trPr>
          <w:divId w:val="415983789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2-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Исследования случай-контроль или когортные исследования с высоким риском эффектов смешивания или систематических ошибок и средней вероятностью причинной взаимосвязи</w:t>
            </w:r>
          </w:p>
        </w:tc>
      </w:tr>
      <w:tr w:rsidR="00753954">
        <w:trPr>
          <w:divId w:val="415983789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Неаналитические исследования (например, описания случаев, серий случаев)</w:t>
            </w:r>
          </w:p>
        </w:tc>
      </w:tr>
      <w:tr w:rsidR="00753954">
        <w:trPr>
          <w:divId w:val="415983789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lastRenderedPageBreak/>
              <w:t>4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Мнение экспертов</w:t>
            </w:r>
          </w:p>
        </w:tc>
      </w:tr>
    </w:tbl>
    <w:p w:rsidR="00753954" w:rsidRDefault="00753954">
      <w:pPr>
        <w:pStyle w:val="2"/>
        <w:divId w:val="415983789"/>
        <w:rPr>
          <w:rFonts w:eastAsia="Times New Roman"/>
        </w:rPr>
      </w:pPr>
      <w:r>
        <w:rPr>
          <w:rStyle w:val="aff8"/>
          <w:rFonts w:eastAsia="Times New Roman"/>
          <w:b/>
          <w:bCs w:val="0"/>
        </w:rPr>
        <w:t>Таблица П2 – Уровни убедительности рекомендаций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7365"/>
      </w:tblGrid>
      <w:tr w:rsidR="00753954">
        <w:trPr>
          <w:divId w:val="41598378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rPr>
                <w:rStyle w:val="aff8"/>
              </w:rPr>
              <w:t>Уровень убедительности доказательств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rPr>
                <w:rStyle w:val="aff8"/>
              </w:rPr>
              <w:t>Характеристика показателя</w:t>
            </w:r>
          </w:p>
        </w:tc>
      </w:tr>
      <w:tr w:rsidR="00753954">
        <w:trPr>
          <w:divId w:val="41598378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А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По меньшей мере один мета-анализ, систематический обзор или РКИ, оцененные как 1++, напрямую применимые к целевой популяции и демонстрирующие устойчивость результатов</w:t>
            </w:r>
          </w:p>
          <w:p w:rsidR="00753954" w:rsidRDefault="00753954">
            <w:pPr>
              <w:pStyle w:val="afa"/>
            </w:pPr>
            <w:r>
              <w:t>или</w:t>
            </w:r>
          </w:p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группа доказательств, включающая результаты исследований, оцененные как 1+, напрямую применимые к целевой популяции и демонстрирующие общую устойчивость результатов</w:t>
            </w:r>
          </w:p>
        </w:tc>
      </w:tr>
      <w:tr w:rsidR="00753954">
        <w:trPr>
          <w:divId w:val="41598378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В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Группа доказательств, включающая результаты исследований, оцененные как 2++, напрямую применимые к целевой популяции и демонстрирующие общую устойчивость результатов</w:t>
            </w:r>
          </w:p>
          <w:p w:rsidR="00753954" w:rsidRDefault="00753954">
            <w:pPr>
              <w:pStyle w:val="afa"/>
            </w:pPr>
            <w:r>
              <w:t>или</w:t>
            </w:r>
          </w:p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экстраполированные доказательства из исследований, оцененных как 1++ или 1+</w:t>
            </w:r>
          </w:p>
        </w:tc>
      </w:tr>
      <w:tr w:rsidR="00753954">
        <w:trPr>
          <w:divId w:val="41598378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С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Группа доказательств, включающая результаты исследований, оцененные как 2+, напрямую применимые к целевой популяции и демонстрирующие общую устойчивость результатов;</w:t>
            </w:r>
          </w:p>
          <w:p w:rsidR="00753954" w:rsidRDefault="00753954">
            <w:pPr>
              <w:pStyle w:val="afa"/>
            </w:pPr>
            <w:r>
              <w:t>или</w:t>
            </w:r>
          </w:p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экстраполированные доказательства из исследований, оцененных как 2++</w:t>
            </w:r>
          </w:p>
        </w:tc>
      </w:tr>
      <w:tr w:rsidR="00753954">
        <w:trPr>
          <w:divId w:val="41598378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54" w:rsidRDefault="00753954">
            <w:pPr>
              <w:pStyle w:val="afa"/>
              <w:jc w:val="center"/>
              <w:rPr>
                <w:rFonts w:eastAsiaTheme="minorEastAsia"/>
              </w:rPr>
            </w:pPr>
            <w:r>
              <w:t>D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Доказательства уровня 3 или 4;</w:t>
            </w:r>
          </w:p>
          <w:p w:rsidR="00753954" w:rsidRDefault="00753954">
            <w:pPr>
              <w:pStyle w:val="afa"/>
            </w:pPr>
            <w:r>
              <w:t>или</w:t>
            </w:r>
          </w:p>
          <w:p w:rsidR="00753954" w:rsidRDefault="00753954">
            <w:pPr>
              <w:pStyle w:val="afa"/>
              <w:rPr>
                <w:rFonts w:eastAsiaTheme="minorEastAsia"/>
              </w:rPr>
            </w:pPr>
            <w:r>
              <w:t>экстраполированные доказательства из исследований, оцененных как 2+</w:t>
            </w:r>
          </w:p>
        </w:tc>
      </w:tr>
    </w:tbl>
    <w:p w:rsidR="00753954" w:rsidRDefault="00753954">
      <w:pPr>
        <w:pStyle w:val="2"/>
        <w:divId w:val="415983789"/>
        <w:rPr>
          <w:rFonts w:eastAsia="Times New Roman"/>
        </w:rPr>
      </w:pPr>
      <w:r>
        <w:rPr>
          <w:rStyle w:val="aff8"/>
          <w:rFonts w:eastAsia="Times New Roman"/>
          <w:b/>
          <w:bCs w:val="0"/>
        </w:rPr>
        <w:t>Порядок обновления клинических рекомендаций</w:t>
      </w:r>
    </w:p>
    <w:p w:rsidR="00753954" w:rsidRDefault="00753954">
      <w:pPr>
        <w:pStyle w:val="afa"/>
        <w:divId w:val="415983789"/>
        <w:rPr>
          <w:rFonts w:eastAsiaTheme="minorEastAsia"/>
        </w:rPr>
      </w:pPr>
      <w:r>
        <w:t>Рекомендации в предварительной версии рецензируются независимыми экспертами. Комментарии, полученные от экспертов, систематизируются и обсуждаются членами рабочей группы. Вносимые в результате этого изменения в рекомендации или причины отказа от внесения изменений регистрируются.</w:t>
      </w:r>
    </w:p>
    <w:p w:rsidR="00753954" w:rsidRDefault="00753954">
      <w:pPr>
        <w:pStyle w:val="afa"/>
        <w:divId w:val="415983789"/>
      </w:pPr>
      <w:r>
        <w:lastRenderedPageBreak/>
        <w:t>Предварительная версия рекомендаций выставляется для обсуждения на сайте ФГБУ «Государственный научный центр дерматовенерологии и косметологии» Минздрава России для того, чтобы лица, не участвующие в разработке рекомендаций, имели возможность принять участие в обсуждении и совершенствовании рекомендаций.</w:t>
      </w:r>
    </w:p>
    <w:p w:rsidR="00753954" w:rsidRDefault="00753954">
      <w:pPr>
        <w:pStyle w:val="afa"/>
        <w:divId w:val="415983789"/>
      </w:pPr>
      <w:r>
        <w:t>Для окончательной редакции и контроля качества рекомендации повторно анализируются членами рабочей группы.</w:t>
      </w:r>
    </w:p>
    <w:p w:rsidR="00753954" w:rsidRDefault="00450B64">
      <w:bookmarkStart w:id="14" w:name="__RefHeading___doc_a3"/>
      <w:r>
        <w:rPr>
          <w:b/>
        </w:rPr>
        <w:t>Приложение А3. Связанн</w:t>
      </w:r>
      <w:r>
        <w:rPr>
          <w:b/>
        </w:rPr>
        <w:t>ые документы</w:t>
      </w:r>
      <w:bookmarkEnd w:id="14"/>
    </w:p>
    <w:p w:rsidR="00753954" w:rsidRDefault="00753954">
      <w:pPr>
        <w:pStyle w:val="afa"/>
        <w:divId w:val="765272363"/>
      </w:pPr>
      <w:r>
        <w:t>Данные клинические рекомендации разработаны с учётом следующих нормативно-правовых документов:</w:t>
      </w:r>
    </w:p>
    <w:p w:rsidR="00753954" w:rsidRDefault="00753954" w:rsidP="00450B64">
      <w:pPr>
        <w:numPr>
          <w:ilvl w:val="0"/>
          <w:numId w:val="20"/>
        </w:numPr>
        <w:spacing w:before="100" w:beforeAutospacing="1" w:after="100" w:afterAutospacing="1" w:line="240" w:lineRule="auto"/>
        <w:divId w:val="765272363"/>
        <w:rPr>
          <w:rFonts w:eastAsia="Times New Roman"/>
        </w:rPr>
      </w:pPr>
      <w:r>
        <w:rPr>
          <w:rFonts w:eastAsia="Times New Roman"/>
        </w:rPr>
        <w:t>Порядок оказания медицинской помощи по профилю «дерматовенерология», утвержденный Приказом Министерства здравоохранения Российской Федерации № 924н от 15 ноября 2012 г.</w:t>
      </w:r>
    </w:p>
    <w:p w:rsidR="00753954" w:rsidRDefault="00450B64">
      <w:bookmarkStart w:id="15" w:name="__RefHeading___doc_b"/>
      <w:r>
        <w:rPr>
          <w:b/>
        </w:rPr>
        <w:t>Приложение Б. Алгоритмы ведения пациента</w:t>
      </w:r>
      <w:bookmarkEnd w:id="15"/>
    </w:p>
    <w:p w:rsidR="00753954" w:rsidRDefault="00753954">
      <w:pPr>
        <w:pStyle w:val="afa"/>
        <w:divId w:val="906652353"/>
      </w:pPr>
      <w:r>
        <w:rPr>
          <w:noProof/>
        </w:rPr>
        <w:drawing>
          <wp:inline distT="0" distB="0" distL="0" distR="0">
            <wp:extent cx="5550462" cy="5189616"/>
            <wp:effectExtent l="19050" t="0" r="0" b="0"/>
            <wp:docPr id="1" name="Рисунок 1" descr="http://democenter.compilesoft.ru/clinrecalg6/images/487d2995-f0be-4577-b75b-ec97682eb0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mocenter.compilesoft.ru/clinrecalg6/images/487d2995-f0be-4577-b75b-ec97682eb0fa.png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580" cy="519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54" w:rsidRDefault="00450B64">
      <w:bookmarkStart w:id="16" w:name="__RefHeading___doc_v"/>
      <w:r>
        <w:rPr>
          <w:b/>
        </w:rPr>
        <w:lastRenderedPageBreak/>
        <w:t>Приложение В. Информация для пациентов</w:t>
      </w:r>
      <w:bookmarkEnd w:id="16"/>
    </w:p>
    <w:p w:rsidR="00753954" w:rsidRDefault="00753954" w:rsidP="00450B64">
      <w:pPr>
        <w:numPr>
          <w:ilvl w:val="0"/>
          <w:numId w:val="21"/>
        </w:numPr>
        <w:spacing w:before="100" w:beforeAutospacing="1" w:after="100" w:afterAutospacing="1" w:line="240" w:lineRule="auto"/>
        <w:divId w:val="2108574342"/>
        <w:rPr>
          <w:rFonts w:eastAsia="Times New Roman"/>
        </w:rPr>
      </w:pPr>
      <w:r>
        <w:rPr>
          <w:rFonts w:eastAsia="Times New Roman"/>
        </w:rPr>
        <w:t>Генитальный герпес – хроническое рецидивирующее заболевание, характеризующееся пожизненной персистенцией вируса простого герпеса в организме.</w:t>
      </w:r>
    </w:p>
    <w:p w:rsidR="00753954" w:rsidRDefault="00753954" w:rsidP="00450B64">
      <w:pPr>
        <w:numPr>
          <w:ilvl w:val="0"/>
          <w:numId w:val="21"/>
        </w:numPr>
        <w:spacing w:before="100" w:beforeAutospacing="1" w:after="100" w:afterAutospacing="1" w:line="240" w:lineRule="auto"/>
        <w:divId w:val="2108574342"/>
        <w:rPr>
          <w:rFonts w:eastAsia="Times New Roman"/>
        </w:rPr>
      </w:pPr>
      <w:r>
        <w:rPr>
          <w:rFonts w:eastAsia="Times New Roman"/>
        </w:rPr>
        <w:t>Во время рецидива генитального герпеса и в период лечения необходимо воздержаться от половых контактов.</w:t>
      </w:r>
    </w:p>
    <w:p w:rsidR="00753954" w:rsidRDefault="00753954" w:rsidP="00450B64">
      <w:pPr>
        <w:numPr>
          <w:ilvl w:val="0"/>
          <w:numId w:val="21"/>
        </w:numPr>
        <w:spacing w:before="100" w:beforeAutospacing="1" w:after="100" w:afterAutospacing="1" w:line="240" w:lineRule="auto"/>
        <w:divId w:val="2108574342"/>
        <w:rPr>
          <w:rFonts w:eastAsia="Times New Roman"/>
        </w:rPr>
      </w:pPr>
      <w:r>
        <w:rPr>
          <w:rFonts w:eastAsia="Times New Roman"/>
        </w:rPr>
        <w:t>Передача инфекции может происходить при отсутствии клинических проявлений заболевания в результате бессимптомного вирусовыделения.</w:t>
      </w:r>
    </w:p>
    <w:p w:rsidR="00753954" w:rsidRDefault="00753954" w:rsidP="00450B64">
      <w:pPr>
        <w:numPr>
          <w:ilvl w:val="0"/>
          <w:numId w:val="21"/>
        </w:numPr>
        <w:spacing w:before="100" w:beforeAutospacing="1" w:after="100" w:afterAutospacing="1" w:line="240" w:lineRule="auto"/>
        <w:divId w:val="2108574342"/>
        <w:rPr>
          <w:rFonts w:eastAsia="Times New Roman"/>
        </w:rPr>
      </w:pPr>
      <w:r>
        <w:rPr>
          <w:rFonts w:eastAsia="Times New Roman"/>
        </w:rPr>
        <w:t>Презервативы, при использовании их постоянно и правильно, способствуют снижению риска инфицирования полового партнера</w:t>
      </w:r>
    </w:p>
    <w:p w:rsidR="00753954" w:rsidRDefault="00753954" w:rsidP="00450B64">
      <w:pPr>
        <w:numPr>
          <w:ilvl w:val="0"/>
          <w:numId w:val="21"/>
        </w:numPr>
        <w:spacing w:before="100" w:beforeAutospacing="1" w:after="100" w:afterAutospacing="1" w:line="240" w:lineRule="auto"/>
        <w:divId w:val="2108574342"/>
        <w:rPr>
          <w:rFonts w:eastAsia="Times New Roman"/>
        </w:rPr>
      </w:pPr>
      <w:r>
        <w:rPr>
          <w:rFonts w:eastAsia="Times New Roman"/>
        </w:rPr>
        <w:t>Рекомендуется обследование на другие инфекции, передаваемые половым путем.</w:t>
      </w:r>
    </w:p>
    <w:p w:rsidR="00753954" w:rsidRDefault="00753954" w:rsidP="00450B64">
      <w:pPr>
        <w:numPr>
          <w:ilvl w:val="0"/>
          <w:numId w:val="21"/>
        </w:numPr>
        <w:spacing w:before="100" w:beforeAutospacing="1" w:after="100" w:afterAutospacing="1" w:line="240" w:lineRule="auto"/>
        <w:divId w:val="2108574342"/>
        <w:rPr>
          <w:rFonts w:eastAsia="Times New Roman"/>
        </w:rPr>
      </w:pPr>
      <w:r>
        <w:rPr>
          <w:rFonts w:eastAsia="Times New Roman"/>
        </w:rPr>
        <w:t>Показанием к проведению лечения генитального герпеса является наличие клинических проявлений заболевания. Наличие циркулирующих в сыворотке крови или других биологических жидкостях и секретах организма больного специфических противогерпетических антител не является показанием для назначения терапии.</w:t>
      </w:r>
    </w:p>
    <w:p w:rsidR="00753954" w:rsidRDefault="00753954" w:rsidP="00450B64">
      <w:pPr>
        <w:numPr>
          <w:ilvl w:val="0"/>
          <w:numId w:val="21"/>
        </w:numPr>
        <w:spacing w:before="100" w:beforeAutospacing="1" w:after="100" w:afterAutospacing="1" w:line="240" w:lineRule="auto"/>
        <w:divId w:val="2108574342"/>
        <w:rPr>
          <w:rFonts w:eastAsia="Times New Roman"/>
        </w:rPr>
      </w:pPr>
      <w:r>
        <w:rPr>
          <w:rFonts w:eastAsia="Times New Roman"/>
        </w:rPr>
        <w:t>Ни один из препаратов не имеет преимущества в эффективности воздействия на течение заболевания.</w:t>
      </w:r>
    </w:p>
    <w:p w:rsidR="00753954" w:rsidRDefault="00753954" w:rsidP="00450B64">
      <w:pPr>
        <w:numPr>
          <w:ilvl w:val="0"/>
          <w:numId w:val="21"/>
        </w:numPr>
        <w:spacing w:before="100" w:beforeAutospacing="1" w:after="100" w:afterAutospacing="1" w:line="240" w:lineRule="auto"/>
        <w:divId w:val="2108574342"/>
        <w:rPr>
          <w:rFonts w:eastAsia="Times New Roman"/>
        </w:rPr>
      </w:pPr>
      <w:r>
        <w:rPr>
          <w:rFonts w:eastAsia="Times New Roman"/>
        </w:rPr>
        <w:t>Лечение не приводит к эрадикации (уничтожению) вируса простого герпеса и не всегда влияет на частоту и тяжесть развития рецидивов в последующем.</w:t>
      </w:r>
    </w:p>
    <w:p w:rsidR="00753954" w:rsidRDefault="00450B64">
      <w:bookmarkStart w:id="17" w:name="__RefHeading___doc_g"/>
      <w:r>
        <w:rPr>
          <w:b/>
        </w:rPr>
        <w:t>Приложение Г.</w:t>
      </w:r>
      <w:bookmarkEnd w:id="17"/>
    </w:p>
    <w:p w:rsidR="00753954" w:rsidRDefault="00753954">
      <w:pPr>
        <w:divId w:val="936450832"/>
        <w:rPr>
          <w:rFonts w:eastAsia="Times New Roman"/>
        </w:rPr>
      </w:pPr>
    </w:p>
    <w:sectPr w:rsidR="00753954" w:rsidSect="00753954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B64" w:rsidRDefault="00450B64">
      <w:pPr>
        <w:spacing w:line="240" w:lineRule="auto"/>
      </w:pPr>
      <w:r>
        <w:separator/>
      </w:r>
    </w:p>
  </w:endnote>
  <w:endnote w:type="continuationSeparator" w:id="1">
    <w:p w:rsidR="00450B64" w:rsidRDefault="00450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631649"/>
      <w:docPartObj>
        <w:docPartGallery w:val="Page Numbers (Bottom of Page)"/>
        <w:docPartUnique/>
      </w:docPartObj>
    </w:sdtPr>
    <w:sdtContent>
      <w:p w:rsidR="00D2226B" w:rsidRDefault="00753954">
        <w:pPr>
          <w:pStyle w:val="af9"/>
          <w:jc w:val="center"/>
        </w:pPr>
        <w:r>
          <w:fldChar w:fldCharType="begin"/>
        </w:r>
        <w:r w:rsidR="00D2226B">
          <w:instrText>PAGE</w:instrText>
        </w:r>
        <w:r>
          <w:fldChar w:fldCharType="separate"/>
        </w:r>
        <w:r w:rsidR="00E33142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B64" w:rsidRDefault="00450B64">
      <w:pPr>
        <w:spacing w:line="240" w:lineRule="auto"/>
      </w:pPr>
      <w:r>
        <w:separator/>
      </w:r>
    </w:p>
  </w:footnote>
  <w:footnote w:type="continuationSeparator" w:id="1">
    <w:p w:rsidR="00450B64" w:rsidRDefault="00450B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6B" w:rsidRDefault="00D2226B">
    <w:pPr>
      <w:pStyle w:val="af8"/>
      <w:jc w:val="right"/>
      <w:rPr>
        <w:i/>
      </w:rPr>
    </w:pPr>
    <w:r>
      <w:rPr>
        <w:i/>
      </w:rPr>
      <w:t>КР208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544"/>
    <w:multiLevelType w:val="multilevel"/>
    <w:tmpl w:val="B39C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77275"/>
    <w:multiLevelType w:val="multilevel"/>
    <w:tmpl w:val="86FE25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37FBC"/>
    <w:multiLevelType w:val="multilevel"/>
    <w:tmpl w:val="576C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36148"/>
    <w:multiLevelType w:val="multilevel"/>
    <w:tmpl w:val="A60C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32237"/>
    <w:multiLevelType w:val="multilevel"/>
    <w:tmpl w:val="9CD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B928B1"/>
    <w:multiLevelType w:val="multilevel"/>
    <w:tmpl w:val="97D8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82711"/>
    <w:multiLevelType w:val="multilevel"/>
    <w:tmpl w:val="E7CC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521011"/>
    <w:multiLevelType w:val="multilevel"/>
    <w:tmpl w:val="14E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291F12"/>
    <w:multiLevelType w:val="multilevel"/>
    <w:tmpl w:val="3F58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320201"/>
    <w:multiLevelType w:val="multilevel"/>
    <w:tmpl w:val="0C06C0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57C86C02"/>
    <w:multiLevelType w:val="multilevel"/>
    <w:tmpl w:val="90629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D7485C"/>
    <w:multiLevelType w:val="multilevel"/>
    <w:tmpl w:val="814A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AA35FD"/>
    <w:multiLevelType w:val="multilevel"/>
    <w:tmpl w:val="763432BC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4E49AF"/>
    <w:multiLevelType w:val="multilevel"/>
    <w:tmpl w:val="F002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165540"/>
    <w:multiLevelType w:val="multilevel"/>
    <w:tmpl w:val="7452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0232B8B"/>
    <w:multiLevelType w:val="multilevel"/>
    <w:tmpl w:val="5C78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42E4905"/>
    <w:multiLevelType w:val="multilevel"/>
    <w:tmpl w:val="F7BE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A41742E"/>
    <w:multiLevelType w:val="multilevel"/>
    <w:tmpl w:val="D2D2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40270E"/>
    <w:multiLevelType w:val="multilevel"/>
    <w:tmpl w:val="EAF6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3C489B"/>
    <w:multiLevelType w:val="multilevel"/>
    <w:tmpl w:val="587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20"/>
  </w:num>
  <w:num w:numId="9">
    <w:abstractNumId w:val="14"/>
  </w:num>
  <w:num w:numId="10">
    <w:abstractNumId w:val="18"/>
  </w:num>
  <w:num w:numId="11">
    <w:abstractNumId w:val="11"/>
  </w:num>
  <w:num w:numId="12">
    <w:abstractNumId w:val="5"/>
  </w:num>
  <w:num w:numId="13">
    <w:abstractNumId w:val="16"/>
  </w:num>
  <w:num w:numId="14">
    <w:abstractNumId w:val="3"/>
  </w:num>
  <w:num w:numId="15">
    <w:abstractNumId w:val="8"/>
  </w:num>
  <w:num w:numId="16">
    <w:abstractNumId w:val="15"/>
  </w:num>
  <w:num w:numId="17">
    <w:abstractNumId w:val="6"/>
  </w:num>
  <w:num w:numId="18">
    <w:abstractNumId w:val="19"/>
  </w:num>
  <w:num w:numId="19">
    <w:abstractNumId w:val="4"/>
  </w:num>
  <w:num w:numId="20">
    <w:abstractNumId w:val="2"/>
  </w:num>
  <w:num w:numId="21">
    <w:abstractNumId w:val="1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BA3"/>
    <w:rsid w:val="00146FA3"/>
    <w:rsid w:val="00187BA3"/>
    <w:rsid w:val="002A0C02"/>
    <w:rsid w:val="002F7719"/>
    <w:rsid w:val="0036727F"/>
    <w:rsid w:val="00450B64"/>
    <w:rsid w:val="004C6DE4"/>
    <w:rsid w:val="005F668D"/>
    <w:rsid w:val="00753954"/>
    <w:rsid w:val="008D6F8C"/>
    <w:rsid w:val="009C6B5A"/>
    <w:rsid w:val="009E685D"/>
    <w:rsid w:val="00B8507B"/>
    <w:rsid w:val="00C76650"/>
    <w:rsid w:val="00CB6FFD"/>
    <w:rsid w:val="00D2226B"/>
    <w:rsid w:val="00E33142"/>
    <w:rsid w:val="00E41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5D"/>
    <w:pPr>
      <w:spacing w:line="360" w:lineRule="auto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qFormat/>
    <w:rsid w:val="00183653"/>
    <w:pPr>
      <w:ind w:firstLine="0"/>
      <w:outlineLvl w:val="0"/>
    </w:pPr>
  </w:style>
  <w:style w:type="paragraph" w:styleId="2">
    <w:name w:val="heading 2"/>
    <w:basedOn w:val="a0"/>
    <w:link w:val="20"/>
    <w:uiPriority w:val="9"/>
    <w:unhideWhenUsed/>
    <w:qFormat/>
    <w:rsid w:val="002F7719"/>
    <w:pPr>
      <w:ind w:firstLine="709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C15E9F"/>
  </w:style>
  <w:style w:type="character" w:customStyle="1" w:styleId="a5">
    <w:name w:val="Нижний колонтитул Знак"/>
    <w:basedOn w:val="a1"/>
    <w:uiPriority w:val="99"/>
    <w:qFormat/>
    <w:rsid w:val="00C15E9F"/>
  </w:style>
  <w:style w:type="character" w:customStyle="1" w:styleId="apple-converted-space">
    <w:name w:val="apple-converted-space"/>
    <w:basedOn w:val="a1"/>
    <w:qFormat/>
    <w:rsid w:val="004B3C53"/>
  </w:style>
  <w:style w:type="character" w:customStyle="1" w:styleId="-">
    <w:name w:val="Интернет-ссылка"/>
    <w:basedOn w:val="a1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1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6">
    <w:name w:val="Текст выноски Знак"/>
    <w:basedOn w:val="a1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7">
    <w:name w:val="Подзаголовок Знак"/>
    <w:basedOn w:val="a1"/>
    <w:uiPriority w:val="11"/>
    <w:qFormat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8">
    <w:name w:val="Subtle Reference"/>
    <w:uiPriority w:val="31"/>
    <w:qFormat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9">
    <w:name w:val="Абзац списка Знак"/>
    <w:basedOn w:val="a1"/>
    <w:uiPriority w:val="34"/>
    <w:qFormat/>
    <w:rsid w:val="00300F50"/>
  </w:style>
  <w:style w:type="character" w:customStyle="1" w:styleId="aa">
    <w:name w:val="Без интервала Знак"/>
    <w:basedOn w:val="a9"/>
    <w:uiPriority w:val="1"/>
    <w:qFormat/>
    <w:rsid w:val="008B1499"/>
    <w:rPr>
      <w:rFonts w:ascii="Times New Roman" w:hAnsi="Times New Roman" w:cs="Times New Roman"/>
      <w:sz w:val="24"/>
      <w:szCs w:val="24"/>
    </w:rPr>
  </w:style>
  <w:style w:type="character" w:customStyle="1" w:styleId="ab">
    <w:name w:val="УД Знак"/>
    <w:basedOn w:val="aa"/>
    <w:qFormat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c">
    <w:name w:val="Ком Знак"/>
    <w:basedOn w:val="a9"/>
    <w:qFormat/>
    <w:rsid w:val="008B1499"/>
    <w:rPr>
      <w:rFonts w:ascii="Times New Roman" w:hAnsi="Times New Roman" w:cs="Times New Roman"/>
      <w:i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qFormat/>
    <w:rsid w:val="009C1F13"/>
    <w:rPr>
      <w:sz w:val="16"/>
      <w:szCs w:val="16"/>
    </w:rPr>
  </w:style>
  <w:style w:type="character" w:customStyle="1" w:styleId="ae">
    <w:name w:val="Текст примечания Знак"/>
    <w:basedOn w:val="a1"/>
    <w:uiPriority w:val="99"/>
    <w:semiHidden/>
    <w:qFormat/>
    <w:rsid w:val="009C1F13"/>
    <w:rPr>
      <w:rFonts w:ascii="Times New Roman" w:hAnsi="Times New Roman"/>
      <w:sz w:val="20"/>
      <w:szCs w:val="20"/>
    </w:rPr>
  </w:style>
  <w:style w:type="character" w:customStyle="1" w:styleId="af">
    <w:name w:val="Тема примечания Знак"/>
    <w:basedOn w:val="ae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0">
    <w:name w:val="Название Знак"/>
    <w:basedOn w:val="a1"/>
    <w:uiPriority w:val="10"/>
    <w:qFormat/>
    <w:rsid w:val="00A43933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qFormat/>
    <w:rsid w:val="00A43933"/>
    <w:rPr>
      <w:rFonts w:cs="Times New Roman"/>
    </w:rPr>
  </w:style>
  <w:style w:type="character" w:customStyle="1" w:styleId="af1">
    <w:name w:val="Текст сноски Знак"/>
    <w:basedOn w:val="a1"/>
    <w:uiPriority w:val="99"/>
    <w:qFormat/>
    <w:rsid w:val="004008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qFormat/>
    <w:rsid w:val="004008B9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1"/>
    <w:link w:val="Normal1"/>
    <w:uiPriority w:val="99"/>
    <w:qFormat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qFormat/>
    <w:rsid w:val="003F4166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753954"/>
    <w:rPr>
      <w:rFonts w:cs="Courier New"/>
    </w:rPr>
  </w:style>
  <w:style w:type="character" w:customStyle="1" w:styleId="ListLabel2">
    <w:name w:val="ListLabel 2"/>
    <w:qFormat/>
    <w:rsid w:val="00753954"/>
    <w:rPr>
      <w:rFonts w:cs="Courier New"/>
    </w:rPr>
  </w:style>
  <w:style w:type="character" w:customStyle="1" w:styleId="ListLabel3">
    <w:name w:val="ListLabel 3"/>
    <w:qFormat/>
    <w:rsid w:val="00753954"/>
    <w:rPr>
      <w:rFonts w:cs="Courier New"/>
    </w:rPr>
  </w:style>
  <w:style w:type="character" w:customStyle="1" w:styleId="ListLabel4">
    <w:name w:val="ListLabel 4"/>
    <w:qFormat/>
    <w:rsid w:val="00753954"/>
    <w:rPr>
      <w:rFonts w:cs="Courier New"/>
    </w:rPr>
  </w:style>
  <w:style w:type="character" w:customStyle="1" w:styleId="ListLabel5">
    <w:name w:val="ListLabel 5"/>
    <w:qFormat/>
    <w:rsid w:val="00753954"/>
    <w:rPr>
      <w:rFonts w:cs="Courier New"/>
    </w:rPr>
  </w:style>
  <w:style w:type="character" w:customStyle="1" w:styleId="ListLabel6">
    <w:name w:val="ListLabel 6"/>
    <w:qFormat/>
    <w:rsid w:val="00753954"/>
    <w:rPr>
      <w:rFonts w:cs="Courier New"/>
    </w:rPr>
  </w:style>
  <w:style w:type="character" w:customStyle="1" w:styleId="ListLabel7">
    <w:name w:val="ListLabel 7"/>
    <w:qFormat/>
    <w:rsid w:val="00753954"/>
    <w:rPr>
      <w:rFonts w:cs="Courier New"/>
    </w:rPr>
  </w:style>
  <w:style w:type="character" w:customStyle="1" w:styleId="ListLabel8">
    <w:name w:val="ListLabel 8"/>
    <w:qFormat/>
    <w:rsid w:val="00753954"/>
    <w:rPr>
      <w:rFonts w:cs="Courier New"/>
    </w:rPr>
  </w:style>
  <w:style w:type="character" w:customStyle="1" w:styleId="ListLabel9">
    <w:name w:val="ListLabel 9"/>
    <w:qFormat/>
    <w:rsid w:val="00753954"/>
    <w:rPr>
      <w:rFonts w:cs="Courier New"/>
    </w:rPr>
  </w:style>
  <w:style w:type="character" w:customStyle="1" w:styleId="ListLabel10">
    <w:name w:val="ListLabel 10"/>
    <w:qFormat/>
    <w:rsid w:val="00753954"/>
    <w:rPr>
      <w:rFonts w:cs="Courier New"/>
      <w:sz w:val="24"/>
    </w:rPr>
  </w:style>
  <w:style w:type="character" w:customStyle="1" w:styleId="ListLabel11">
    <w:name w:val="ListLabel 11"/>
    <w:qFormat/>
    <w:rsid w:val="00753954"/>
    <w:rPr>
      <w:rFonts w:cs="Courier New"/>
    </w:rPr>
  </w:style>
  <w:style w:type="character" w:customStyle="1" w:styleId="ListLabel12">
    <w:name w:val="ListLabel 12"/>
    <w:qFormat/>
    <w:rsid w:val="00753954"/>
    <w:rPr>
      <w:rFonts w:cs="Courier New"/>
    </w:rPr>
  </w:style>
  <w:style w:type="character" w:customStyle="1" w:styleId="ListLabel13">
    <w:name w:val="ListLabel 13"/>
    <w:qFormat/>
    <w:rsid w:val="00753954"/>
    <w:rPr>
      <w:rFonts w:cs="Courier New"/>
    </w:rPr>
  </w:style>
  <w:style w:type="character" w:customStyle="1" w:styleId="ListLabel14">
    <w:name w:val="ListLabel 14"/>
    <w:qFormat/>
    <w:rsid w:val="00753954"/>
    <w:rPr>
      <w:rFonts w:cs="Courier New"/>
    </w:rPr>
  </w:style>
  <w:style w:type="character" w:customStyle="1" w:styleId="ListLabel15">
    <w:name w:val="ListLabel 15"/>
    <w:qFormat/>
    <w:rsid w:val="00753954"/>
    <w:rPr>
      <w:rFonts w:cs="Courier New"/>
    </w:rPr>
  </w:style>
  <w:style w:type="character" w:customStyle="1" w:styleId="ListLabel16">
    <w:name w:val="ListLabel 16"/>
    <w:qFormat/>
    <w:rsid w:val="00753954"/>
    <w:rPr>
      <w:rFonts w:cs="Courier New"/>
    </w:rPr>
  </w:style>
  <w:style w:type="character" w:customStyle="1" w:styleId="ListLabel17">
    <w:name w:val="ListLabel 17"/>
    <w:qFormat/>
    <w:rsid w:val="00753954"/>
    <w:rPr>
      <w:rFonts w:cs="Courier New"/>
    </w:rPr>
  </w:style>
  <w:style w:type="character" w:customStyle="1" w:styleId="ListLabel18">
    <w:name w:val="ListLabel 18"/>
    <w:qFormat/>
    <w:rsid w:val="00753954"/>
    <w:rPr>
      <w:rFonts w:cs="Courier New"/>
    </w:rPr>
  </w:style>
  <w:style w:type="character" w:customStyle="1" w:styleId="ListLabel19">
    <w:name w:val="ListLabel 19"/>
    <w:qFormat/>
    <w:rsid w:val="00753954"/>
    <w:rPr>
      <w:rFonts w:cs="Courier New"/>
    </w:rPr>
  </w:style>
  <w:style w:type="character" w:customStyle="1" w:styleId="ListLabel20">
    <w:name w:val="ListLabel 20"/>
    <w:qFormat/>
    <w:rsid w:val="00753954"/>
    <w:rPr>
      <w:rFonts w:cs="Courier New"/>
    </w:rPr>
  </w:style>
  <w:style w:type="character" w:customStyle="1" w:styleId="ListLabel21">
    <w:name w:val="ListLabel 21"/>
    <w:qFormat/>
    <w:rsid w:val="00753954"/>
    <w:rPr>
      <w:rFonts w:cs="Courier New"/>
    </w:rPr>
  </w:style>
  <w:style w:type="character" w:customStyle="1" w:styleId="ListLabel22">
    <w:name w:val="ListLabel 22"/>
    <w:qFormat/>
    <w:rsid w:val="00753954"/>
    <w:rPr>
      <w:rFonts w:cs="Courier New"/>
    </w:rPr>
  </w:style>
  <w:style w:type="character" w:customStyle="1" w:styleId="ListLabel23">
    <w:name w:val="ListLabel 23"/>
    <w:qFormat/>
    <w:rsid w:val="00753954"/>
    <w:rPr>
      <w:rFonts w:cs="Courier New"/>
    </w:rPr>
  </w:style>
  <w:style w:type="character" w:customStyle="1" w:styleId="ListLabel24">
    <w:name w:val="ListLabel 24"/>
    <w:qFormat/>
    <w:rsid w:val="00753954"/>
    <w:rPr>
      <w:rFonts w:cs="Courier New"/>
    </w:rPr>
  </w:style>
  <w:style w:type="character" w:customStyle="1" w:styleId="ListLabel25">
    <w:name w:val="ListLabel 25"/>
    <w:qFormat/>
    <w:rsid w:val="00753954"/>
    <w:rPr>
      <w:rFonts w:cs="Courier New"/>
    </w:rPr>
  </w:style>
  <w:style w:type="character" w:customStyle="1" w:styleId="ListLabel26">
    <w:name w:val="ListLabel 26"/>
    <w:qFormat/>
    <w:rsid w:val="00753954"/>
    <w:rPr>
      <w:rFonts w:cs="Courier New"/>
    </w:rPr>
  </w:style>
  <w:style w:type="character" w:customStyle="1" w:styleId="ListLabel27">
    <w:name w:val="ListLabel 27"/>
    <w:qFormat/>
    <w:rsid w:val="00753954"/>
    <w:rPr>
      <w:rFonts w:cs="Courier New"/>
    </w:rPr>
  </w:style>
  <w:style w:type="character" w:customStyle="1" w:styleId="ListLabel28">
    <w:name w:val="ListLabel 28"/>
    <w:qFormat/>
    <w:rsid w:val="00753954"/>
    <w:rPr>
      <w:rFonts w:cs="Courier New"/>
    </w:rPr>
  </w:style>
  <w:style w:type="character" w:customStyle="1" w:styleId="ListLabel29">
    <w:name w:val="ListLabel 29"/>
    <w:qFormat/>
    <w:rsid w:val="00753954"/>
    <w:rPr>
      <w:rFonts w:cs="Courier New"/>
    </w:rPr>
  </w:style>
  <w:style w:type="character" w:customStyle="1" w:styleId="ListLabel30">
    <w:name w:val="ListLabel 30"/>
    <w:qFormat/>
    <w:rsid w:val="00753954"/>
    <w:rPr>
      <w:rFonts w:cs="Courier New"/>
    </w:rPr>
  </w:style>
  <w:style w:type="character" w:customStyle="1" w:styleId="ListLabel31">
    <w:name w:val="ListLabel 31"/>
    <w:qFormat/>
    <w:rsid w:val="00753954"/>
    <w:rPr>
      <w:rFonts w:cs="Courier New"/>
    </w:rPr>
  </w:style>
  <w:style w:type="character" w:customStyle="1" w:styleId="ListLabel32">
    <w:name w:val="ListLabel 32"/>
    <w:qFormat/>
    <w:rsid w:val="00753954"/>
    <w:rPr>
      <w:rFonts w:cs="Courier New"/>
    </w:rPr>
  </w:style>
  <w:style w:type="character" w:customStyle="1" w:styleId="ListLabel33">
    <w:name w:val="ListLabel 33"/>
    <w:qFormat/>
    <w:rsid w:val="00753954"/>
    <w:rPr>
      <w:rFonts w:cs="Courier New"/>
    </w:rPr>
  </w:style>
  <w:style w:type="character" w:customStyle="1" w:styleId="ListLabel34">
    <w:name w:val="ListLabel 34"/>
    <w:qFormat/>
    <w:rsid w:val="00753954"/>
    <w:rPr>
      <w:rFonts w:cs="Courier New"/>
    </w:rPr>
  </w:style>
  <w:style w:type="character" w:customStyle="1" w:styleId="ListLabel35">
    <w:name w:val="ListLabel 35"/>
    <w:qFormat/>
    <w:rsid w:val="00753954"/>
    <w:rPr>
      <w:rFonts w:cs="Courier New"/>
    </w:rPr>
  </w:style>
  <w:style w:type="character" w:customStyle="1" w:styleId="ListLabel36">
    <w:name w:val="ListLabel 36"/>
    <w:qFormat/>
    <w:rsid w:val="00753954"/>
    <w:rPr>
      <w:rFonts w:cs="Courier New"/>
      <w:b/>
      <w:sz w:val="24"/>
    </w:rPr>
  </w:style>
  <w:style w:type="character" w:customStyle="1" w:styleId="ListLabel37">
    <w:name w:val="ListLabel 37"/>
    <w:qFormat/>
    <w:rsid w:val="00753954"/>
    <w:rPr>
      <w:rFonts w:cs="Courier New"/>
    </w:rPr>
  </w:style>
  <w:style w:type="character" w:customStyle="1" w:styleId="ListLabel38">
    <w:name w:val="ListLabel 38"/>
    <w:qFormat/>
    <w:rsid w:val="00753954"/>
    <w:rPr>
      <w:rFonts w:cs="Courier New"/>
    </w:rPr>
  </w:style>
  <w:style w:type="character" w:customStyle="1" w:styleId="ListLabel39">
    <w:name w:val="ListLabel 39"/>
    <w:qFormat/>
    <w:rsid w:val="00753954"/>
    <w:rPr>
      <w:rFonts w:cs="Courier New"/>
    </w:rPr>
  </w:style>
  <w:style w:type="character" w:customStyle="1" w:styleId="af3">
    <w:name w:val="Ссылка указателя"/>
    <w:qFormat/>
    <w:rsid w:val="00753954"/>
  </w:style>
  <w:style w:type="paragraph" w:customStyle="1" w:styleId="13">
    <w:name w:val="Заголовок1"/>
    <w:basedOn w:val="a"/>
    <w:next w:val="af4"/>
    <w:qFormat/>
    <w:rsid w:val="0075395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rsid w:val="00753954"/>
    <w:pPr>
      <w:spacing w:after="140" w:line="288" w:lineRule="auto"/>
    </w:pPr>
  </w:style>
  <w:style w:type="paragraph" w:styleId="af5">
    <w:name w:val="List"/>
    <w:basedOn w:val="af4"/>
    <w:rsid w:val="00753954"/>
    <w:rPr>
      <w:rFonts w:cs="Mangal"/>
    </w:rPr>
  </w:style>
  <w:style w:type="paragraph" w:styleId="af6">
    <w:name w:val="caption"/>
    <w:basedOn w:val="a"/>
    <w:qFormat/>
    <w:rsid w:val="00753954"/>
    <w:pPr>
      <w:suppressLineNumbers/>
      <w:spacing w:before="120" w:after="120"/>
    </w:pPr>
    <w:rPr>
      <w:rFonts w:cs="Mangal"/>
      <w:i/>
      <w:iCs/>
      <w:szCs w:val="24"/>
    </w:rPr>
  </w:style>
  <w:style w:type="paragraph" w:styleId="af7">
    <w:name w:val="index heading"/>
    <w:basedOn w:val="a"/>
    <w:qFormat/>
    <w:rsid w:val="00753954"/>
    <w:pPr>
      <w:suppressLineNumbers/>
    </w:pPr>
    <w:rPr>
      <w:rFonts w:cs="Mangal"/>
    </w:rPr>
  </w:style>
  <w:style w:type="paragraph" w:styleId="af8">
    <w:name w:val="head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9">
    <w:name w:val="foot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Normal (Web)"/>
    <w:basedOn w:val="a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 w:cs="Times New Roman"/>
      <w:szCs w:val="24"/>
      <w:lang w:eastAsia="ru-RU"/>
    </w:rPr>
  </w:style>
  <w:style w:type="paragraph" w:styleId="afb">
    <w:name w:val="List Paragraph"/>
    <w:basedOn w:val="a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"/>
    <w:qFormat/>
    <w:rsid w:val="006B7CAB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c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d">
    <w:name w:val="Balloon Text"/>
    <w:basedOn w:val="a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toc 1"/>
    <w:basedOn w:val="a"/>
    <w:link w:val="15"/>
    <w:autoRedefine/>
    <w:uiPriority w:val="39"/>
    <w:unhideWhenUsed/>
    <w:rsid w:val="00BC2CF8"/>
    <w:pPr>
      <w:tabs>
        <w:tab w:val="right" w:leader="dot" w:pos="9345"/>
      </w:tabs>
      <w:spacing w:after="100"/>
    </w:pPr>
  </w:style>
  <w:style w:type="paragraph" w:styleId="a0">
    <w:name w:val="Subtitle"/>
    <w:basedOn w:val="a"/>
    <w:uiPriority w:val="11"/>
    <w:qFormat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e">
    <w:name w:val="No Spacing"/>
    <w:basedOn w:val="afb"/>
    <w:uiPriority w:val="1"/>
    <w:qFormat/>
    <w:rsid w:val="008B1499"/>
    <w:pPr>
      <w:spacing w:before="240"/>
      <w:ind w:left="851" w:hanging="425"/>
      <w:jc w:val="both"/>
    </w:pPr>
    <w:rPr>
      <w:rFonts w:cs="Times New Roman"/>
      <w:szCs w:val="24"/>
    </w:rPr>
  </w:style>
  <w:style w:type="paragraph" w:customStyle="1" w:styleId="aff">
    <w:name w:val="УД"/>
    <w:basedOn w:val="afe"/>
    <w:qFormat/>
    <w:rsid w:val="00300F50"/>
    <w:pPr>
      <w:spacing w:before="0"/>
    </w:pPr>
    <w:rPr>
      <w:b/>
    </w:rPr>
  </w:style>
  <w:style w:type="paragraph" w:customStyle="1" w:styleId="aff0">
    <w:name w:val="Ком"/>
    <w:basedOn w:val="aff"/>
    <w:qFormat/>
    <w:rsid w:val="008B1499"/>
    <w:rPr>
      <w:b w:val="0"/>
      <w:i/>
    </w:rPr>
  </w:style>
  <w:style w:type="paragraph" w:styleId="aff1">
    <w:name w:val="annotation text"/>
    <w:basedOn w:val="a"/>
    <w:uiPriority w:val="99"/>
    <w:semiHidden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9C1F13"/>
    <w:rPr>
      <w:b/>
      <w:bCs/>
    </w:rPr>
  </w:style>
  <w:style w:type="paragraph" w:styleId="aff3">
    <w:name w:val="Title"/>
    <w:basedOn w:val="a"/>
    <w:uiPriority w:val="10"/>
    <w:qFormat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"/>
    <w:autoRedefine/>
    <w:uiPriority w:val="39"/>
    <w:rsid w:val="00A43933"/>
    <w:pPr>
      <w:spacing w:after="200" w:line="276" w:lineRule="auto"/>
      <w:ind w:left="220"/>
    </w:pPr>
    <w:rPr>
      <w:rFonts w:ascii="Calibri" w:eastAsia="Calibri" w:hAnsi="Calibri" w:cs="Times New Roman"/>
      <w:sz w:val="22"/>
    </w:rPr>
  </w:style>
  <w:style w:type="paragraph" w:customStyle="1" w:styleId="Normal10">
    <w:name w:val="Normal1"/>
    <w:uiPriority w:val="99"/>
    <w:qFormat/>
    <w:rsid w:val="004008B9"/>
    <w:pPr>
      <w:widowControl w:val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4">
    <w:name w:val="footnote text"/>
    <w:basedOn w:val="a"/>
    <w:uiPriority w:val="99"/>
    <w:unhideWhenUsed/>
    <w:qFormat/>
    <w:rsid w:val="00400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5">
    <w:name w:val="Оглавление 1 Знак"/>
    <w:basedOn w:val="Normal10"/>
    <w:link w:val="14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customStyle="1" w:styleId="aff5">
    <w:name w:val="Содержимое врезки"/>
    <w:basedOn w:val="a"/>
    <w:qFormat/>
    <w:rsid w:val="00753954"/>
  </w:style>
  <w:style w:type="table" w:styleId="aff6">
    <w:name w:val="Table Grid"/>
    <w:basedOn w:val="a2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qFormat/>
    <w:rsid w:val="00753954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</w:rPr>
  </w:style>
  <w:style w:type="paragraph" w:customStyle="1" w:styleId="CustomContentNormal">
    <w:name w:val="Custom Content Normal"/>
    <w:qFormat/>
    <w:rsid w:val="00D2226B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</w:rPr>
  </w:style>
  <w:style w:type="character" w:styleId="aff8">
    <w:name w:val="Strong"/>
    <w:basedOn w:val="a1"/>
    <w:uiPriority w:val="22"/>
    <w:qFormat/>
    <w:rsid w:val="009E685D"/>
    <w:rPr>
      <w:b/>
      <w:bCs/>
    </w:rPr>
  </w:style>
  <w:style w:type="character" w:styleId="aff9">
    <w:name w:val="Emphasis"/>
    <w:basedOn w:val="a1"/>
    <w:uiPriority w:val="20"/>
    <w:qFormat/>
    <w:rsid w:val="002F7719"/>
    <w:rPr>
      <w:i/>
      <w:iCs/>
    </w:rPr>
  </w:style>
  <w:style w:type="character" w:styleId="affa">
    <w:name w:val="Hyperlink"/>
    <w:basedOn w:val="a1"/>
    <w:uiPriority w:val="99"/>
    <w:semiHidden/>
    <w:unhideWhenUsed/>
    <w:rsid w:val="00753954"/>
    <w:rPr>
      <w:color w:val="0000FF"/>
      <w:u w:val="single"/>
    </w:rPr>
  </w:style>
  <w:style w:type="paragraph" w:customStyle="1" w:styleId="1">
    <w:name w:val="Стиль1"/>
    <w:basedOn w:val="a"/>
    <w:link w:val="110"/>
    <w:qFormat/>
    <w:rsid w:val="00D2226B"/>
    <w:pPr>
      <w:numPr>
        <w:numId w:val="1"/>
      </w:numPr>
      <w:tabs>
        <w:tab w:val="clear" w:pos="720"/>
      </w:tabs>
      <w:spacing w:before="240"/>
      <w:ind w:left="0"/>
      <w:jc w:val="both"/>
    </w:pPr>
    <w:rPr>
      <w:rFonts w:eastAsia="Times New Roman"/>
    </w:rPr>
  </w:style>
  <w:style w:type="character" w:customStyle="1" w:styleId="110">
    <w:name w:val="Стиль1 Знак1"/>
    <w:basedOn w:val="a1"/>
    <w:link w:val="1"/>
    <w:rsid w:val="00D2226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democenter.compilesoft.ru/clinrecalg6/images/487d2995-f0be-4577-b75b-ec97682eb0fa.png" TargetMode="External"/><Relationship Id="rId4" Type="http://schemas.openxmlformats.org/officeDocument/2006/relationships/settings" Target="settings.xml"/><Relationship Id="rId9" Type="http://schemas.openxmlformats.org/officeDocument/2006/relationships/hyperlink" Target="#&#1050;&#1083;&#1102;&#1095;&#1077;&#1074;&#1099;&#1077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8EAD-DBCD-481A-A71F-A9CC1F1C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4447</Words>
  <Characters>25351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Compile</dc:creator>
  <dc:description/>
  <cp:lastModifiedBy>Люлин</cp:lastModifiedBy>
  <cp:revision>5</cp:revision>
  <cp:lastPrinted>2018-01-15T09:39:00Z</cp:lastPrinted>
  <dcterms:created xsi:type="dcterms:W3CDTF">2017-03-20T11:43:00Z</dcterms:created>
  <dcterms:modified xsi:type="dcterms:W3CDTF">2018-01-15T09:40:00Z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