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C" w:rsidRPr="00BC1CBC" w:rsidRDefault="00BC1CBC" w:rsidP="00BC1CB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662A84"/>
          <w:spacing w:val="15"/>
          <w:kern w:val="36"/>
          <w:sz w:val="33"/>
          <w:szCs w:val="33"/>
        </w:rPr>
      </w:pPr>
      <w:r w:rsidRPr="00BC1CBC">
        <w:rPr>
          <w:rFonts w:ascii="Verdana" w:eastAsia="Times New Roman" w:hAnsi="Verdana" w:cs="Times New Roman"/>
          <w:b/>
          <w:bCs/>
          <w:color w:val="662A84"/>
          <w:spacing w:val="15"/>
          <w:kern w:val="36"/>
          <w:sz w:val="33"/>
          <w:szCs w:val="33"/>
        </w:rPr>
        <w:t>Применение антибактериальных препаратов у детей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Физиологические особенности детского организма, приводящие к изменению фармакокинетики ЛС, могут оказывать существенное влияние на выбор и дозирование антиинфекционных химиопрепаратов. Использование некоторых из них в педиатрии запрещено или ограничено в связи с риском тяжелых, часто специфичных для возраста, НР.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Наибольшего внимания требует применение АМП у новорожденных детей, особенно недоношенных, что обусловлено незрелостью ферментативных систем печени и механизмов клубочковой фильтрации почек, а также изменением распределения ЛС вследствие большего объема внеклеточной жидкости у новорожденных. При назначении АМП, имеющих высокое сродство к белкам плазмы крови (сульфаниламиды, цефтриаксон), важное значение имеют более низкие концентрации альбуминов в сыворотке у новорожденных и связанный с этим риск ядерной желтухи. Неправильный выбор препарата или его доз, отсутствие мониторинга концентраций антибиотика в крови могут привести к тяжелым осложнениям антибиотикотерапии (например, "серый синдром" при применении хлорамфеникола). Учитывая важность этой проблемы, дозирование антибактериальных средств у новорожденных вынесено в отдельную таблицу.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Ниже приведены особенности применения в педиатрии отдельных АМП. Предупреждения, касающиеся назначения других препаратов детям, указаны при описании фармакологической характеристики этих ЛС.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Аминогликозиды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объем распределения в организме новорожденных больше, чем у взрослых, поэтому доза препаратов в расчете на килограмм массы тела у новорожденных выше. Период полувыведения увеличен за счет снижения скорости клубочковой фильтрации, что требует коррекции интервалов между введениями.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Хлорамфеникол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замедлена инактивация препарата вследствие незрелости ферментов печени у новорожденных, создаются высокие концентрации в плазме крови. С целью профилактики "серого синдрома" и тяжелых поражений кроветворения необходим мониторинг концентраций в крови и гематологических параметров. Хлорамфеникол не следует назначать новорожденным, если существует более безопасная альтернатива.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Сульфаниламиды и ко-тримоксазол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повышенный риск ядерной желтухи, вследствие конкурентного вытеснения билирубина из связи с белками плазмы крови, и гемолитической анемии, обусловленной дефицитом глюкозо-6-фосфатдегидрогеназы. Противопоказаны новорожденным, за исключением терапии врожденного токсоплазмоза и пневмоцистной пневмонии.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Цефтриаксон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повышенный риск ядерной желтухи у новорожденных и осложнений со стороны ЖВП в детском возрасте. Следует избегать назначения препарата новорожденным, в случае необходимости применять цефотаксим. С острожностью необходимо назначать в высоких дозах детям с заболеваниями ЖВП и поджелудочной железы.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Пенициллины, цефалоспорины, карбапенемы, монобактамы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увеличен период полувыведения из организма вследствие сниженной скорости клубочковой фильтрации и канальцевой секреции. Может потребоваться коррекция доз или интервалов между введениями.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Тетрациклины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риск нежелательного влияния на костную ткань и зубы. Противопоказаны детям до 8 лет (за исключением случаев отсутствия более безопасной альтернативы).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t>Нитрофураны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риск гемолитической анемии при дефиците глюкозо-6-фосфатдегидрогеназы. Противопоказаны новорожденным.</w:t>
      </w:r>
    </w:p>
    <w:p w:rsidR="00BC1CBC" w:rsidRPr="00BC1CBC" w:rsidRDefault="00BC1CBC" w:rsidP="00BC1CBC">
      <w:pPr>
        <w:spacing w:before="150" w:after="60" w:line="244" w:lineRule="atLeast"/>
        <w:jc w:val="both"/>
        <w:rPr>
          <w:rFonts w:ascii="Verdana" w:eastAsia="Times New Roman" w:hAnsi="Verdana" w:cs="Times New Roman"/>
          <w:color w:val="111111"/>
          <w:sz w:val="20"/>
          <w:szCs w:val="20"/>
        </w:rPr>
      </w:pPr>
      <w:r w:rsidRPr="00BC1CBC">
        <w:rPr>
          <w:rFonts w:ascii="Verdana" w:eastAsia="Times New Roman" w:hAnsi="Verdana" w:cs="Times New Roman"/>
          <w:i/>
          <w:iCs/>
          <w:color w:val="111111"/>
          <w:sz w:val="20"/>
          <w:szCs w:val="20"/>
        </w:rPr>
        <w:lastRenderedPageBreak/>
        <w:t>Хинолоны/фторхинолоны</w:t>
      </w: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t> - риск нарушения формирования костно-суставной системы (на основании экспериментальных данных) и гемолитической анемии при дефиците глюкозо-6-фосфатдегидрогеназы. Применение хинолонов детям до 3 лет нежелательно. Фторхинолоны официально не разрешены для применения у детей, однако по мнению международных экспертов их можно назначать при тяжелых инфекциях при отсутствии альтернативы.</w:t>
      </w:r>
    </w:p>
    <w:p w:rsidR="00BC1CBC" w:rsidRPr="00BC1CBC" w:rsidRDefault="00BC1CBC" w:rsidP="00BC1CBC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62A84"/>
          <w:sz w:val="26"/>
          <w:szCs w:val="26"/>
        </w:rPr>
      </w:pPr>
      <w:r w:rsidRPr="00BC1CBC">
        <w:rPr>
          <w:rFonts w:ascii="Verdana" w:eastAsia="Times New Roman" w:hAnsi="Verdana" w:cs="Times New Roman"/>
          <w:color w:val="662A84"/>
          <w:sz w:val="26"/>
          <w:szCs w:val="26"/>
        </w:rPr>
        <w:t>Таблица 1.</w:t>
      </w:r>
      <w:r w:rsidRPr="00BC1CBC">
        <w:rPr>
          <w:rFonts w:ascii="Verdana" w:eastAsia="Times New Roman" w:hAnsi="Verdana" w:cs="Times New Roman"/>
          <w:b/>
          <w:bCs/>
          <w:color w:val="662A84"/>
          <w:sz w:val="26"/>
          <w:szCs w:val="26"/>
        </w:rPr>
        <w:t> Средние суточные дозы антибактериальных средств у детей в возрасте от 1 мес до 12 лет</w:t>
      </w:r>
      <w:hyperlink r:id="rId4" w:anchor="sn1" w:history="1">
        <w:r w:rsidRPr="00BC1CBC">
          <w:rPr>
            <w:rFonts w:ascii="Verdana" w:eastAsia="Times New Roman" w:hAnsi="Verdana" w:cs="Times New Roman"/>
            <w:b/>
            <w:bCs/>
            <w:color w:val="56017E"/>
            <w:sz w:val="26"/>
            <w:vertAlign w:val="superscript"/>
          </w:rPr>
          <w:t>*</w:t>
        </w:r>
      </w:hyperlink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44"/>
        <w:gridCol w:w="3056"/>
        <w:gridCol w:w="3063"/>
      </w:tblGrid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Препарат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Доза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парентерально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Антибактериальные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Пеницилины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Азлоциллин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200-300 мг/кг/сут в 4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Амоксициллин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30-60 мг/кг/сут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Амоксициллин/клавуланат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40-60 мг/кг/сут в 3 приема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40-60 мг/кг/сут</w:t>
            </w:r>
            <w:hyperlink r:id="rId5" w:anchor="sn2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  <w:vertAlign w:val="superscript"/>
                </w:rPr>
                <w:t>**</w:t>
              </w:r>
            </w:hyperlink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 3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Ампициллин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 мг/кг/сут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50-100 мг/кг/сут в 4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Ампициллин/сульбактам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мг/кг/сут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150 мг/кг/сут в 3-4 введения;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50-150 ЕД/кг/сут в 4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Бензилпенициллин прокаин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50-100 тыс. ЕД/кг/сут в 1-2 введения;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Бензатин бензилпенициллин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тыс. ЕД/кг/сут в 1-2 введения;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Бензилпенициллин (калиевая соль)/ Бензилпенициллин прокаин/ Бензатин бензилпенициллин (1:1:1) (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Бициллин-3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Дозируется по бензатин бензилпенициллину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Бензилпенициллин/ бензатин бензилпенициллин (4:1) (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Бициллин-5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Дозируется по бензатин бензилпенициллину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Карбенициллин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400-600 мг/кг/сут сутки в 6-8 введений;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Оксациллин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40-60 мг/кг/сут (но не более 1,5 г/сут) в 3-4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200-300 мг/кг/сут в 4-6 введений;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Пиперациллин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 xml:space="preserve">150-300 мг/кг/сут в 3-4 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Тикарциллин/клавуланат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200-300 мг/кг/сут</w:t>
            </w:r>
            <w:hyperlink r:id="rId6" w:anchor="sn3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  <w:vertAlign w:val="superscript"/>
                </w:rPr>
                <w:t>***</w:t>
              </w:r>
            </w:hyperlink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 4-6 введений;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30-40 мг/кг/сут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Цефалоспорины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Цефазолин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50-100 мг/кг/сут в 2-3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Цефаклор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20-40 мг/кг/сут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Цефалексин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45 мг/кг/сут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Цефепим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 2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- 50 мг/кг/сут в 3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Цефиксим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6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- 8 мг/кг/сут в 1-2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Цефоперазон/сульбактам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40-80 мг/кг/сут в 2-3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Цефоперазон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50-100 мг/кг/сут 2-3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Цефотаксим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50-100 мг/кг/сут в 2-3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Цефтазидим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30-100 мг/кг/сут в 2-3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Цефтибутен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1-10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- 9 мг/кг/сут в 1-2 приема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10-12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(масса тела &gt; 45 кг) - 200-400 мг/сут в 1-2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Цефтриаксон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20-75 мг/кг/сут в 1-2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Цефуроксим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50-100 мг/кг/сут в 3-4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Цефуроксим-аксетил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30-40 мг/кг/сут в 2 приема во время 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Карбапенемы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Имипенем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60-100 мг/кг/сут (до 2 г/сут) в 3-4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Меропенем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3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- 60 мг/кг/сут в 3-4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Монобактамы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Азтреонам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120-150 мг/кг/сут в 3-4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lastRenderedPageBreak/>
              <w:t>Аминогликозиды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Амикацин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15-20 мг/кг/сут в 1-2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Гентамицин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3-5 мг/кг/сут в 1-2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Нетилмицин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4-7,5 мг/кг/сут в 1-2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Стрептомицин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15-20 мг/кг/сут (не более 2 г/сут) в 1 введение;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Тобрамицин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3-5 мг/кг/сут в 1-2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Макролиды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3-дневный курс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10 мг/кг/сут или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5-дневный кур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с: 10 мг/кг в 1-е сутки, затем по 5 мг/кг/сут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Джозамицин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 мг/кг/сут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Кларитромицин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6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- 15 мг/кг/сут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Мидекамицин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 мг/кг/сут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Рокситромицин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5-8 мг/кг/сут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Спирамицин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150 тыс. МЕ/кг/сут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Эритромицин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40-50 мг/кг/сут в 3-4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40-50 мг/кг/сут в 3-4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Тетрациклины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Доксициклин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 мг/кг/сут (но не более 200 мг/сут) в 1-2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в 1-е сутки 5 мг/кг, далее по 2,5 мг/кг/сут в 2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- 25-50 мг/кг/сут (но не более 3 г/сут)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Хинолоны/Фторхинолоны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Налидиксовая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3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- 55 мг/кг/сут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Оксолиновая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- 500 мг/сут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Пипемидовая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- 15 мг/кг/сут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Ципрофлокацин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4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По жизненным показаниям детям - 10-15 мг/кг/сут в 2 приема (но не более 1,5 г/сут)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По жизненным показаниям - 7,5-10 мг/кг/сут (но не более 800 мг/сут) в 2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Гликопептиды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Ванкомицин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40-60 мг/кг/сут (но не более 2 г/сут) в 4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Тейкопланин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6-10 мг/кг/сут в 2 введения; в/в,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Оксазолидиноны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Линезолид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Symbol" w:eastAsia="Times New Roman" w:hAnsi="Symbol" w:cs="Times New Roman"/>
                <w:color w:val="111111"/>
                <w:sz w:val="20"/>
                <w:szCs w:val="20"/>
              </w:rPr>
              <w:t>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10 мг/кг (но не более 0,6 г) каждые 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Symbol" w:eastAsia="Times New Roman" w:hAnsi="Symbol" w:cs="Times New Roman"/>
                <w:color w:val="111111"/>
                <w:sz w:val="20"/>
                <w:szCs w:val="20"/>
              </w:rPr>
              <w:t>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10 мг/кг (но не более 0,6 г) каждые 12 ч.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Линкозамиды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Клиндамицин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10-25 мг/кг/сут (но не более 2 г/сут) в 3-4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20-40 мг/кг/сут (но не более 3г/сут) в 3-4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Линкомицин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30-60 мг/кг/сут в 3-4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10-20 мг/кг/сут в 2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Нитроимидазолы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22,5 мг/кг/сут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22,5 мг/кг/сут в 3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Орнидазол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25-40 мг/кг/сут в 1-2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Тинидазол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50-60 мг/кг/сут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Нитрофураны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Нитрофурантоин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5-7 мг/кг/сут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Нифурател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10-20 мг/кг/сут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Нифуроксазид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 мес-2,5 лет - 0,1 г каждые 8-12 ч;&gt; 2,5 лет - 0,2 г каждые 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Фуразолидон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6-7 мг/кг/сут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Фуразидин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 мг/кг/сут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Полимиксины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Полимиксин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1,5-2,5 мг/кг/сут (но не более 200 мг/сут) в 3-4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Полимиксин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&lt; 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- 100 тыс. ЕД/кг/сут в 3 приема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5-12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- 1,5 млн ЕД/сут в 3-4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lastRenderedPageBreak/>
              <w:t>Сульфаниламиды и ко-тримоксазол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Сульфадиазин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2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- 75 мг/кг на первый прием, затем по 37,5 мг/кг каждые 6 ч или по 25 мг/кг каждые 4 ч (но не более 6,0 г/сут)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Сульфадимидин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2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- 100 мг/кг на первый прием, затем по 25 мг/кг каждые 4-6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Ко-тримоксазол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2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- 6-8 мг/сут</w:t>
            </w:r>
            <w:hyperlink r:id="rId7" w:anchor="sn3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  <w:vertAlign w:val="superscript"/>
                </w:rPr>
                <w:t>****</w:t>
              </w:r>
            </w:hyperlink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2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при тяжелых инфекциях, включая пневмоцистную пневмонию, 15-20 мг/кг/сут</w:t>
            </w:r>
            <w:hyperlink r:id="rId8" w:anchor="sn3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  <w:vertAlign w:val="superscript"/>
                </w:rPr>
                <w:t>****</w:t>
              </w:r>
            </w:hyperlink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 3-4 введения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Препараты других групп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Нитроксолин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5-8 мг/кг/сут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Спектиномицин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Масса тела &lt; 45 кг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- 40 мг/кг однократно;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Масса тела &gt; 45 кг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 г однократно;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Фосфомицин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&gt; 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 г/сут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Фузидиевая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&lt; 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- 50 мг/кг/сут в 3 приема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2-5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- 0,75 г/сут в 3 приема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6-12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- 1,5 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 мг/кг/сут в 3 введения;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&lt; 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- 50-75 мг/кг/сут в 4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50-75 мг/кг/сут в 4 введения; в/м,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Противотуберкулезные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Изониазид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 мг/кг/сут (но не более 0,3 г/сут) в 1-2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 мг/кг/сут (но не более 0,3 г/сут) в 1-2 введения;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Капреомицин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15-30 мг/кг/сут (но не более 1 г/сут) в 1 введение;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Метазид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20-30 мг/кг/сут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ПАСК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200-300 мг/кг/сут (но не более 12 г/сут) в 2-3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Пиразинамид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20-40 мг в/кг/сут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Протионамид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 xml:space="preserve">15-20 мг/кг/сут (но не 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более 1 г/сут) в 1-3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Рифампицин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10-20 мг/кг/сут (но не более 0,6 г/сут)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Стрептомицин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 мг/кг/сут в 1 введение;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Тиоацетазон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4 мг/кг/сут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Циклосерин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10-20 мг/кг/сут (но не более 1 г/сут)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15-25 мг/кг/сут (но не более 2,5 г/сут)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Этионамид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15-20 мг/кг/сут (но не более 1 г/сут) в 1-3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Противогрибковые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Амфотерицин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Тест-доза 1 мг в 20 мл 5 % глюкозы в течение 1 ч; в/в. Лечебная доза 0,3-1,5 мг/кг/сут в 1 введение;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Амфотерицин В липосомальный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1-5 мг/кг/сут в 1 введение;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Гризеофульвин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 мг/кг/сут в 1-2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Калия йодид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Нач. доза - 5 кап. каждые 8-12 ч, затем раз. дозу повышают на 5 кап./нед и доводят до 25-40 кап. каждые 8-12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Кетоконазол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мг/кг/сут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Леворин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&lt;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- 20-25 тыс. ЕД/кг каждые 8-12 ч;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- 250 тыс. ЕД каждые 8-12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Натамицин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0,1 г каждые 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Нистатин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125-250 тыс. ЕД каждые 6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Тербинафин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масса тела &lt; 20 кг - 62,5 мг/сут, 20-40 кг - 0,125 г/сут, &gt; 40 кг - 0,25 г/сут,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При кандидозе кожи и слизистых оболочек - 1-2 мг/кг/сут в 1 прием; 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 xml:space="preserve">при системном кандидозе и криптококкозе - 6-12 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мг/кг/сут в 1 прием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При кандидозе кожи и слизистых - 1-2 мг/кг/сут в 1 введение; в/в; 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 xml:space="preserve">при системном кандидозе и криптококкозе - 6-12 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мг/кг/сут в 1 введение;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lastRenderedPageBreak/>
              <w:t>Противовирусные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Противогерпетические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У детей &lt; 12 лет дозу рассчитывают на площадь поверхности тела: 0,25 г/м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вместо 5 мг/кг, 0,5 г/м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вместо 10 мг/кг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При ветряной оспе у детей до 2 лет 80 мг/кг/сут в 4 приема, 2-16 лет - 20 мг/кг (но не более 0,8 г) каждые 6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 мг/кг каждые 8 ч;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Противоцитомегаловирусные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Ганцикловир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 мг/кг каждые 12 ч,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Фоскарнет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90 мг/кг каждые 12 ч, или 60 мг/кг каждые 8 ч;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Противогриппозные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Амантадин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5 мг/кг/сут (но не более 0,15 г)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Арбидол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2-6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для лечения - 0,05 г каждые 6 ч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6-12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лет: для лечения - 0,1 г каждые 6 ч; для профилактики - 0,1 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Занамивир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7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0,01 г каждые 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Римантадин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5 мг/кг/сут (но не более 0,15 г)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t>Противовирусные препараты расширенного спектра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Интерферон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3-6 млн МЕ/м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поверхности тела 3 раза в неделю; п/к или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Ламивудин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при ХГВ (у детей &gt; 2 лет)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- 3 мг/кг/сут (но не более 0,1 г);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при ВИЧ-инфекции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&lt;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 мг/кг каждые 12 ч, 1 мес-12 лет - 4 мг/кг каждые 12 ч (но не более 0,3 г/сут)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Рибавирин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Ингаляционно (через небулайзер)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При РСВ-инфекции - 20 мг/мл/сут (6,0 г в 300 мл стерильной воды) в течение 18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i/>
                <w:iCs/>
                <w:color w:val="111111"/>
                <w:sz w:val="20"/>
                <w:szCs w:val="20"/>
              </w:rPr>
              <w:lastRenderedPageBreak/>
              <w:t>Антиретровирусные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Абакавир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8 мг/кг каждые 12 ч (но не более 0,6 г/сут)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Ампренавир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4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капс. - 20 мг/кг каждые 12 ч или 15 мг/кг каждые 8 ч; р-р - 22,5 мг/кг каждые 12 ч или 17 мг/кг каждые 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Диданозин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Поверхность тела &lt; 0,4 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- 0,025 г (таблетки) и 0,031 г (порошок), 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0,5-0,7 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- 0,05 г и 0,062 г (соотв.), 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0,8-1,0 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- 0,075 г и 0,094 г (соотв.), 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1,1-1,4 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- 0,1 г и 0,125 г (соотв.); каждые 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Зидовудин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 мес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60 мг/м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каждые 8 ч (480 мг/м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в сутки)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Ифавиренц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 лет: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масса тела 13-15 кг - 0,2 г/сут,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15-20 кг - 0,25 г/сут,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20-25 кг - 0,3 г/сут,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25-32 кг - 0,35 г/сут,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32-40 кг - 0,4 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Невирапин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мес-8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- 4 мг/кг/сут в 1 прием в течение 2 нед, далее 7 мг/кг каждые 12 ч;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- 4 мг/кг/сут в 1 прием в течение 2 нед, далее 4 мг/кг каждые 12 ч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Максимальная суточная доза - 0,4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Нелфинавир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20-30 мг/кг каждые 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Ритонавир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0,4 г/м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каждые 12 ч.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При плохой переносимости - 0,25 г/м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, с последующим увеличением дозы каждые 2-3 дня на 50 мг/м2 до достижения стандартной дозы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Ставудин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&lt;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30 кг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1 мг/кг каждые 12 ч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30 кг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0,015 г каждые 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Противопротозойные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Артеметер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1-я доза - 3,2 мг/кг, далее 1,6 мг/кг/сут;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Артесунат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 1-е сутки - 2 мг/кг каждые 12 ч, далее - 1 мг/кг каждые 12 ч; в/в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Галофантрин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8 мг/кг - в 3 приема через 6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Дегидроэметин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 мг/кг/сут (не более 0,09 г);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Дилоксанида фуроат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20 мг/кг/сут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Меглюмина антимонат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 мг сурьмы/кг/сут;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Мефлохин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для лечения малярии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- 15 мг/кг однократно;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для профилактики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- 5 мг/кг/нед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Паромомицин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25-30 мг/кг/сут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Пириметамин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Лечение токсоплазмозав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первые 2 дня - 2 мг/кг/сут, далее 1 мг/кг/сут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Пириметамин/сульфадоксин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Symbol" w:eastAsia="Times New Roman" w:hAnsi="Symbol" w:cs="Times New Roman"/>
                <w:color w:val="111111"/>
                <w:sz w:val="20"/>
                <w:szCs w:val="20"/>
              </w:rPr>
              <w:t>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4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- 1/2 табл.,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5-8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 табл.,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9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 табл., однократно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До 1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- 1/4 амп.,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1-4 года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- 1/4-3/4 амп.,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5-8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-3/4-1 амп.,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9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- 1-1,5 амп, однократно;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Примахин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0,25 мг/кг/сут или 0,75 мг/кг/нед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Расчет на примахин 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Прогуанил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мг/кг/сут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Хинин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мг/кг/сут в 3 приема каждые 8 ч.Расчет на хинин 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мг/кг/сут в 3 введения каждые 8 ч.Расчет на хинин основание.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Хлорохин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Лечение малярии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1-я доза - 10 мг/кг, через 6 ч 2-я до-за - 5 мг/кг, на 2-е и 3-и сут - по 5 мг/кг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Профилактика малярии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5 мг/кг/недРасчет на хлорохин 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Лечение малярии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  <w:t>1-я доза - 10 мг/кг, через 6 ч 2-я до-за - 5 мг/кг, на 2-е и 3-и сут - по 5 мг/кг (по возможности избегать в/в введения)Расчет на хлорохин основание.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Эметин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 мг/кг/сут (не более 0,06 г); в/м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Этофамид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 мг/кг/сут в 2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Противогельминтные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Диэтилкарбамазин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 6 мг/кг/сут в 3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Ивермектин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гельминтозах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- 0,15-0,2 мг/кг однократно;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чесотке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- 0,2 мг/кг однократно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Левамизол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аскаридозе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2,5 мг/кг однократно;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энтеробиозе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два приема по 2,5 мг/кг с интервалом 7-10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Мебендазол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аскаридозе и энтеробиозе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- 0,2-0,4 г однократно;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анкилостомидозе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- 0,4 г/сут, 3 дня;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стронгилоидозе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- 0,4-0,8 г каждые 12-24 ч, 3-5 дней;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трихоцефалезе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- 0,4 г/сут, 1-3 дня;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трихинеллезе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- 10 мг/кг/сут в 3 приема, 7-10 дней;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токсокарозе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- 10 мг/кг/сут в 3 приема, 10-20 дней,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эхинококкозе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- 10-20 мг/кг/сут в 2-3 приема, несколько мес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Никлозамид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&amp;дt;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- 0,5 г;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2-5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- 1,0 г;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6-12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- 1,5 г,однократно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Пирантела памоат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&amp;дt;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раз. доза 62,5 мг;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2-6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- 0,125 г;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6-12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- 0,25 г;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12-15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- 0,375 г.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br/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аскаридозе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однократно;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анкилостомидозе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- 3 дня,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энтеробиозе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 приема с интервалом 7-10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Празиквантел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&gt; </w:t>
            </w: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4 лет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: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 xml:space="preserve">при описторхозе, клонорхозе и 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lastRenderedPageBreak/>
              <w:t>парагонимозе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- 75 мг/кг/сут в 3 приема, 1 день;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шистосомозах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- 40-75 мг/кг/сут в 2-3 приема, 1 день;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гименолепидозе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 приема по 20-25 мг/кг с интервалом 10 дней; </w:t>
            </w:r>
            <w:r w:rsidRPr="00BC1CBC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</w:rPr>
              <w:t>при других цестодозах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 - 20-25 мг/кг однократно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 </w:t>
            </w:r>
          </w:p>
        </w:tc>
      </w:tr>
    </w:tbl>
    <w:p w:rsidR="00BC1CBC" w:rsidRPr="00BC1CBC" w:rsidRDefault="00BC1CBC" w:rsidP="00BC1CBC">
      <w:pPr>
        <w:spacing w:before="150" w:after="60" w:line="200" w:lineRule="atLeast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bookmarkStart w:id="0" w:name="sn1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lastRenderedPageBreak/>
        <w:t>*</w:t>
      </w:r>
      <w:bookmarkEnd w:id="0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При лечении некоторых инфекций дозы могут быть выше или ниже указанных; дозы для детей старше 12 лет соответствуют дозам у взрослых </w:t>
      </w:r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bookmarkStart w:id="1" w:name="sn2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**</w:t>
      </w:r>
      <w:bookmarkEnd w:id="1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По амоксициллину </w:t>
      </w:r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bookmarkStart w:id="2" w:name="sn3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***</w:t>
      </w:r>
      <w:bookmarkEnd w:id="2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По тикарциллину </w:t>
      </w:r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bookmarkStart w:id="3" w:name="sn4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****</w:t>
      </w:r>
      <w:bookmarkEnd w:id="3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- По триметоприму</w:t>
      </w:r>
    </w:p>
    <w:p w:rsidR="00BC1CBC" w:rsidRPr="00BC1CBC" w:rsidRDefault="00BC1CBC" w:rsidP="00B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CBC">
        <w:rPr>
          <w:rFonts w:ascii="Verdana" w:eastAsia="Times New Roman" w:hAnsi="Verdana" w:cs="Times New Roman"/>
          <w:color w:val="111111"/>
          <w:sz w:val="20"/>
          <w:szCs w:val="20"/>
        </w:rPr>
        <w:br/>
      </w:r>
    </w:p>
    <w:p w:rsidR="00BC1CBC" w:rsidRPr="00BC1CBC" w:rsidRDefault="00BC1CBC" w:rsidP="00BC1CBC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62A84"/>
          <w:sz w:val="26"/>
          <w:szCs w:val="26"/>
        </w:rPr>
      </w:pPr>
      <w:r w:rsidRPr="00BC1CBC">
        <w:rPr>
          <w:rFonts w:ascii="Verdana" w:eastAsia="Times New Roman" w:hAnsi="Verdana" w:cs="Times New Roman"/>
          <w:color w:val="662A84"/>
          <w:sz w:val="26"/>
          <w:szCs w:val="26"/>
        </w:rPr>
        <w:t>Таблица 2.</w:t>
      </w:r>
      <w:r w:rsidRPr="00BC1CBC">
        <w:rPr>
          <w:rFonts w:ascii="Verdana" w:eastAsia="Times New Roman" w:hAnsi="Verdana" w:cs="Times New Roman"/>
          <w:b/>
          <w:bCs/>
          <w:color w:val="662A84"/>
          <w:sz w:val="26"/>
          <w:szCs w:val="26"/>
        </w:rPr>
        <w:t> Средние дозы антибактериальных препаратов у новорожденных</w:t>
      </w:r>
      <w:hyperlink r:id="rId9" w:anchor="sn21" w:history="1">
        <w:r w:rsidRPr="00BC1CBC">
          <w:rPr>
            <w:rFonts w:ascii="Verdana" w:eastAsia="Times New Roman" w:hAnsi="Verdana" w:cs="Times New Roman"/>
            <w:b/>
            <w:bCs/>
            <w:color w:val="56017E"/>
            <w:sz w:val="26"/>
            <w:vertAlign w:val="superscript"/>
          </w:rPr>
          <w:t>*</w:t>
        </w:r>
      </w:hyperlink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46"/>
        <w:gridCol w:w="1245"/>
        <w:gridCol w:w="1193"/>
        <w:gridCol w:w="1193"/>
        <w:gridCol w:w="1193"/>
        <w:gridCol w:w="1193"/>
        <w:gridCol w:w="1200"/>
      </w:tblGrid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Препарат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Путь введения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Разовые дозы (мг/кг)/интервалы между введением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Масса тела &lt; 1,2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Масса тела 1,2-2 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Масса тела &gt; 2 кг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0-4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0-7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&gt; 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0-7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2B88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&gt; 7 дней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7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Пенициллины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Ампициллин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25/6-8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25/6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Бензилпенициллин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тыс. ЕД/12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тыс. ЕД/12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тыс. ЕД/8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тыс. ЕД/8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 тыс. ЕД 6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Бензилпенициллин прокаин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тыс. ЕД/24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тыс. ЕД/24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тыс. ЕД/24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тыс. ЕД/24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 тыс. ЕД/24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Оксациллин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37,5/6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Цефалоспорины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Цефазолин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Цефотаксим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Цефтазидим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30-50/8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Цефтриаксон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50/24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Карбапенемы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Имипенем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25/18-24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Монобактамы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Азтреонам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30/6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Аминогликозиды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Амикацин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7,5/18-24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7,5/12-18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7,5/8-12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Гентамицин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2,5/18-24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2,5/12-18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2,5/12-18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Нетилмицин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2,5/18-24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2,5/8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Стрептомицин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10-15/12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Тобрамицин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2-2,5/12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2-2,5/12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2-2,5/8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2-2,5/12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2-2,5/8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Макролиды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Эритромицин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Гликопептиды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Ванкомицин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15/18-36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15/12-18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15/8-12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Линкозамиды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Клиндамицин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в/м,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5/6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Нитроимидазолы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Метронидазол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7,5/48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7,5/12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15/12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Препараты других групп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Ко-тримоксазол </w:t>
            </w:r>
            <w:hyperlink r:id="rId10" w:anchor="sn22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  <w:vertAlign w:val="superscript"/>
                </w:rPr>
                <w:t>**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5/48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5/48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5/48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Хлорамфеникол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В/в, в/м,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25/12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Противотуберкулезные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Изониазид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Пиразинамид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35/24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Противогрибковые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Амфотерицин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0,25/24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0,25/24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0,25/24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0,25/24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0,25/24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Амфотерицин В липосомальный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1-3/24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Противовирусные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Ацикловир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Ганцикловир</w:t>
            </w:r>
            <w:hyperlink r:id="rId11" w:anchor="sn23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</w:rPr>
                <w:t>***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5/12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lastRenderedPageBreak/>
              <w:t>Интерферон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П/к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млн ЕД/м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/3 раза в нед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млн ЕД/м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/3 раза в нед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млн ЕД/м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/3 раза в нед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млн ЕД/м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/3 раза в нед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 млн ЕД/м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  <w:vertAlign w:val="superscript"/>
              </w:rPr>
              <w:t>2</w:t>
            </w: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/3 раза в нед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Рибавирин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Инг.</w:t>
            </w:r>
            <w:hyperlink r:id="rId12" w:anchor="sn24" w:history="1">
              <w:r w:rsidRPr="00BC1CBC">
                <w:rPr>
                  <w:rFonts w:ascii="Verdana" w:eastAsia="Times New Roman" w:hAnsi="Verdana" w:cs="Times New Roman"/>
                  <w:color w:val="56017E"/>
                  <w:sz w:val="20"/>
                  <w:vertAlign w:val="superscript"/>
                </w:rPr>
                <w:t>****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20/24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3F1"/>
            <w:hideMark/>
          </w:tcPr>
          <w:p w:rsidR="00BC1CBC" w:rsidRPr="00BC1CBC" w:rsidRDefault="00BC1CBC" w:rsidP="00BC1C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b/>
                <w:bCs/>
                <w:color w:val="111111"/>
                <w:sz w:val="20"/>
                <w:szCs w:val="20"/>
              </w:rPr>
              <w:t>Противопаразитарные препараты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Прогуанил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3/24 ч</w:t>
            </w:r>
          </w:p>
        </w:tc>
      </w:tr>
      <w:tr w:rsidR="00BC1CBC" w:rsidRPr="00BC1CBC" w:rsidTr="00BC1C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Хинин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CBC" w:rsidRPr="00BC1CBC" w:rsidRDefault="00BC1CBC" w:rsidP="00BC1CBC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BC1CBC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10/8 ч</w:t>
            </w:r>
          </w:p>
        </w:tc>
      </w:tr>
    </w:tbl>
    <w:p w:rsidR="00BC1CBC" w:rsidRPr="00BC1CBC" w:rsidRDefault="00BC1CBC" w:rsidP="00BC1CBC">
      <w:pPr>
        <w:spacing w:before="150" w:after="60" w:line="200" w:lineRule="atLeast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bookmarkStart w:id="4" w:name="sn21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</w:t>
      </w:r>
      <w:bookmarkEnd w:id="4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Дозы для лечения менингита приведены в разделе "Инфекции ЦНС" </w:t>
      </w:r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bookmarkStart w:id="5" w:name="sn22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**</w:t>
      </w:r>
      <w:bookmarkEnd w:id="5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По триметоприму </w:t>
      </w:r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bookmarkStart w:id="6" w:name="sn23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***</w:t>
      </w:r>
      <w:bookmarkEnd w:id="6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При очень низкой массе тела и почечной недостаточности интервалы между введениями следует увеличить </w:t>
      </w:r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bookmarkStart w:id="7" w:name="sn24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****</w:t>
      </w:r>
      <w:bookmarkEnd w:id="7"/>
      <w:r w:rsidRPr="00BC1CBC">
        <w:rPr>
          <w:rFonts w:ascii="Verdana" w:eastAsia="Times New Roman" w:hAnsi="Verdana" w:cs="Times New Roman"/>
          <w:color w:val="111111"/>
          <w:sz w:val="16"/>
          <w:szCs w:val="16"/>
        </w:rPr>
        <w:t> - Ингаляционно через небулайзер</w:t>
      </w:r>
    </w:p>
    <w:p w:rsidR="00DD5877" w:rsidRDefault="00DD5877"/>
    <w:sectPr w:rsidR="00DD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1CBC"/>
    <w:rsid w:val="00BC1CBC"/>
    <w:rsid w:val="00D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C1C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C1C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1C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1CBC"/>
    <w:rPr>
      <w:color w:val="800080"/>
      <w:u w:val="single"/>
    </w:rPr>
  </w:style>
  <w:style w:type="paragraph" w:customStyle="1" w:styleId="small">
    <w:name w:val="small"/>
    <w:basedOn w:val="a"/>
    <w:rsid w:val="00B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biotic.ru/ab/kids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tibiotic.ru/ab/kids.shtml" TargetMode="External"/><Relationship Id="rId12" Type="http://schemas.openxmlformats.org/officeDocument/2006/relationships/hyperlink" Target="http://www.antibiotic.ru/ab/kid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biotic.ru/ab/kids.shtml" TargetMode="External"/><Relationship Id="rId11" Type="http://schemas.openxmlformats.org/officeDocument/2006/relationships/hyperlink" Target="http://www.antibiotic.ru/ab/kids.shtml" TargetMode="External"/><Relationship Id="rId5" Type="http://schemas.openxmlformats.org/officeDocument/2006/relationships/hyperlink" Target="http://www.antibiotic.ru/ab/kids.shtml" TargetMode="External"/><Relationship Id="rId10" Type="http://schemas.openxmlformats.org/officeDocument/2006/relationships/hyperlink" Target="http://www.antibiotic.ru/ab/kids.shtml" TargetMode="External"/><Relationship Id="rId4" Type="http://schemas.openxmlformats.org/officeDocument/2006/relationships/hyperlink" Target="http://www.antibiotic.ru/ab/kids.shtml" TargetMode="External"/><Relationship Id="rId9" Type="http://schemas.openxmlformats.org/officeDocument/2006/relationships/hyperlink" Target="http://www.antibiotic.ru/ab/kids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2947</Words>
  <Characters>16803</Characters>
  <Application>Microsoft Office Word</Application>
  <DocSecurity>0</DocSecurity>
  <Lines>140</Lines>
  <Paragraphs>39</Paragraphs>
  <ScaleCrop>false</ScaleCrop>
  <Company/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</dc:creator>
  <cp:keywords/>
  <dc:description/>
  <cp:lastModifiedBy>Люлин</cp:lastModifiedBy>
  <cp:revision>3</cp:revision>
  <dcterms:created xsi:type="dcterms:W3CDTF">2018-06-14T08:50:00Z</dcterms:created>
  <dcterms:modified xsi:type="dcterms:W3CDTF">2018-06-14T08:51:00Z</dcterms:modified>
</cp:coreProperties>
</file>